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895" w:rsidRDefault="00B24895" w:rsidP="00B24895">
      <w:pPr>
        <w:pStyle w:val="ListParagraph"/>
        <w:ind w:left="0"/>
        <w:rPr>
          <w:b/>
          <w:sz w:val="28"/>
          <w:szCs w:val="28"/>
          <w:lang w:val="sr-Latn-CS"/>
        </w:rPr>
      </w:pPr>
      <w:r>
        <w:rPr>
          <w:b/>
          <w:sz w:val="28"/>
          <w:szCs w:val="28"/>
          <w:lang w:val="sr-Latn-CS"/>
        </w:rPr>
        <w:t>5.5</w:t>
      </w:r>
      <w:r w:rsidR="009A3188">
        <w:rPr>
          <w:b/>
          <w:sz w:val="28"/>
          <w:szCs w:val="28"/>
          <w:lang w:val="sr-Latn-CS"/>
        </w:rPr>
        <w:t>.</w:t>
      </w:r>
      <w:r>
        <w:rPr>
          <w:b/>
          <w:sz w:val="28"/>
          <w:szCs w:val="28"/>
          <w:lang w:val="sr-Latn-CS"/>
        </w:rPr>
        <w:t xml:space="preserve"> Eksperimentalni dizajn</w:t>
      </w:r>
    </w:p>
    <w:p w:rsidR="00B24895" w:rsidRDefault="00B24895" w:rsidP="00B24895">
      <w:pPr>
        <w:autoSpaceDE w:val="0"/>
        <w:autoSpaceDN w:val="0"/>
        <w:adjustRightInd w:val="0"/>
        <w:rPr>
          <w:bCs/>
          <w:lang w:val="sr-Latn-CS"/>
        </w:rPr>
      </w:pPr>
    </w:p>
    <w:p w:rsidR="00B24895" w:rsidRDefault="00B24895" w:rsidP="00B24895">
      <w:pPr>
        <w:autoSpaceDE w:val="0"/>
        <w:autoSpaceDN w:val="0"/>
        <w:adjustRightInd w:val="0"/>
        <w:rPr>
          <w:bCs/>
          <w:lang w:val="sr-Latn-CS"/>
        </w:rPr>
      </w:pPr>
      <w:r>
        <w:rPr>
          <w:bCs/>
          <w:lang w:val="sr-Latn-CS"/>
        </w:rPr>
        <w:t>Izvođenje eksperimenata predstavlja način da se ispitaju karakteristike nekog procesa ili sistema. Date karakteristike obično zavise od nekoliko faktora, a zadatak eksperimentatora je da odredi uticaj tih faktora na neku od izlaznih karakteristika sistema (prinos, kvalitet, itd). Najjednostavniji matematički opis, odnosno model sistema je funkcija:</w:t>
      </w:r>
    </w:p>
    <w:p w:rsidR="00B24895" w:rsidRDefault="00B24895" w:rsidP="00B24895">
      <w:pPr>
        <w:autoSpaceDE w:val="0"/>
        <w:autoSpaceDN w:val="0"/>
        <w:adjustRightInd w:val="0"/>
        <w:spacing w:before="120" w:after="120"/>
        <w:ind w:firstLine="720"/>
        <w:rPr>
          <w:bCs/>
          <w:lang w:val="sr-Latn-CS"/>
        </w:rPr>
      </w:pPr>
      <w:r>
        <w:rPr>
          <w:bCs/>
          <w:i/>
          <w:lang w:val="sr-Latn-CS"/>
        </w:rPr>
        <w:t>y</w:t>
      </w:r>
      <w:r>
        <w:rPr>
          <w:bCs/>
          <w:lang w:val="sr-Latn-CS"/>
        </w:rPr>
        <w:t xml:space="preserve"> = </w:t>
      </w:r>
      <w:r>
        <w:rPr>
          <w:bCs/>
          <w:i/>
          <w:lang w:val="sr-Latn-CS"/>
        </w:rPr>
        <w:t>f</w:t>
      </w:r>
      <w:r>
        <w:rPr>
          <w:bCs/>
          <w:lang w:val="sr-Latn-CS"/>
        </w:rPr>
        <w:t xml:space="preserve"> (</w:t>
      </w:r>
      <w:r>
        <w:rPr>
          <w:bCs/>
          <w:i/>
          <w:lang w:val="sr-Latn-CS"/>
        </w:rPr>
        <w:t>x</w:t>
      </w:r>
      <w:r>
        <w:rPr>
          <w:bCs/>
          <w:lang w:val="sr-Latn-CS"/>
        </w:rPr>
        <w:t>,</w:t>
      </w:r>
      <w:r>
        <w:rPr>
          <w:bCs/>
          <w:i/>
          <w:lang w:val="sr-Latn-CS"/>
        </w:rPr>
        <w:t>p</w:t>
      </w:r>
      <w:r>
        <w:rPr>
          <w:bCs/>
          <w:lang w:val="sr-Latn-CS"/>
        </w:rPr>
        <w:t>)</w:t>
      </w:r>
      <w:r>
        <w:rPr>
          <w:bCs/>
          <w:lang w:val="sr-Latn-CS"/>
        </w:rPr>
        <w:tab/>
      </w:r>
      <w:r>
        <w:rPr>
          <w:bCs/>
          <w:lang w:val="sr-Latn-CS"/>
        </w:rPr>
        <w:tab/>
      </w:r>
      <w:r>
        <w:rPr>
          <w:bCs/>
          <w:lang w:val="sr-Latn-CS"/>
        </w:rPr>
        <w:tab/>
      </w:r>
      <w:r>
        <w:rPr>
          <w:bCs/>
          <w:lang w:val="sr-Latn-CS"/>
        </w:rPr>
        <w:tab/>
      </w:r>
      <w:r>
        <w:rPr>
          <w:bCs/>
          <w:lang w:val="sr-Latn-CS"/>
        </w:rPr>
        <w:tab/>
      </w:r>
      <w:r>
        <w:rPr>
          <w:bCs/>
          <w:lang w:val="sr-Latn-CS"/>
        </w:rPr>
        <w:tab/>
      </w:r>
      <w:r>
        <w:rPr>
          <w:bCs/>
          <w:lang w:val="sr-Latn-CS"/>
        </w:rPr>
        <w:tab/>
      </w:r>
      <w:r>
        <w:rPr>
          <w:bCs/>
          <w:lang w:val="sr-Latn-CS"/>
        </w:rPr>
        <w:tab/>
        <w:t>(5.5.1)</w:t>
      </w:r>
    </w:p>
    <w:p w:rsidR="00B24895" w:rsidRDefault="00B24895" w:rsidP="00B24895">
      <w:pPr>
        <w:autoSpaceDE w:val="0"/>
        <w:autoSpaceDN w:val="0"/>
        <w:adjustRightInd w:val="0"/>
        <w:rPr>
          <w:bCs/>
          <w:lang w:val="sr-Latn-CS"/>
        </w:rPr>
      </w:pPr>
      <w:r>
        <w:rPr>
          <w:bCs/>
          <w:lang w:val="sr-Latn-CS"/>
        </w:rPr>
        <w:t xml:space="preserve">gde je </w:t>
      </w:r>
      <w:r>
        <w:rPr>
          <w:bCs/>
          <w:i/>
          <w:lang w:val="sr-Latn-CS"/>
        </w:rPr>
        <w:t>y</w:t>
      </w:r>
      <w:r w:rsidR="003C415B">
        <w:rPr>
          <w:bCs/>
          <w:i/>
          <w:lang w:val="sr-Latn-CS"/>
        </w:rPr>
        <w:t xml:space="preserve"> </w:t>
      </w:r>
      <w:r>
        <w:rPr>
          <w:bCs/>
          <w:lang w:val="sr-Latn-CS"/>
        </w:rPr>
        <w:t>-</w:t>
      </w:r>
      <w:r w:rsidR="003C415B">
        <w:rPr>
          <w:bCs/>
          <w:lang w:val="sr-Latn-CS"/>
        </w:rPr>
        <w:t xml:space="preserve"> </w:t>
      </w:r>
      <w:r>
        <w:rPr>
          <w:bCs/>
          <w:lang w:val="sr-Latn-CS"/>
        </w:rPr>
        <w:t xml:space="preserve">odgovor sistema koji zavisi od nezavisno promenljive </w:t>
      </w:r>
      <w:r>
        <w:rPr>
          <w:bCs/>
          <w:i/>
          <w:lang w:val="sr-Latn-CS"/>
        </w:rPr>
        <w:t>x</w:t>
      </w:r>
      <w:r>
        <w:rPr>
          <w:bCs/>
          <w:lang w:val="sr-Latn-CS"/>
        </w:rPr>
        <w:t>=(</w:t>
      </w:r>
      <w:r>
        <w:rPr>
          <w:bCs/>
          <w:i/>
          <w:lang w:val="sr-Latn-CS"/>
        </w:rPr>
        <w:t>x</w:t>
      </w:r>
      <w:r>
        <w:rPr>
          <w:bCs/>
          <w:vertAlign w:val="subscript"/>
          <w:lang w:val="sr-Latn-CS"/>
        </w:rPr>
        <w:t>1</w:t>
      </w:r>
      <w:r>
        <w:rPr>
          <w:bCs/>
          <w:lang w:val="sr-Latn-CS"/>
        </w:rPr>
        <w:t xml:space="preserve">, </w:t>
      </w:r>
      <w:r>
        <w:rPr>
          <w:bCs/>
          <w:i/>
          <w:lang w:val="sr-Latn-CS"/>
        </w:rPr>
        <w:t>x</w:t>
      </w:r>
      <w:r>
        <w:rPr>
          <w:bCs/>
          <w:vertAlign w:val="subscript"/>
          <w:lang w:val="sr-Latn-CS"/>
        </w:rPr>
        <w:t>2</w:t>
      </w:r>
      <w:r>
        <w:rPr>
          <w:bCs/>
          <w:lang w:val="sr-Latn-CS"/>
        </w:rPr>
        <w:t xml:space="preserve">, </w:t>
      </w:r>
      <w:r>
        <w:rPr>
          <w:bCs/>
          <w:i/>
          <w:lang w:val="sr-Latn-CS"/>
        </w:rPr>
        <w:t>x</w:t>
      </w:r>
      <w:r>
        <w:rPr>
          <w:bCs/>
          <w:vertAlign w:val="subscript"/>
          <w:lang w:val="sr-Latn-CS"/>
        </w:rPr>
        <w:t>3</w:t>
      </w:r>
      <w:r>
        <w:rPr>
          <w:bCs/>
          <w:lang w:val="sr-Latn-CS"/>
        </w:rPr>
        <w:t xml:space="preserve">... </w:t>
      </w:r>
      <w:r>
        <w:rPr>
          <w:bCs/>
          <w:i/>
          <w:lang w:val="sr-Latn-CS"/>
        </w:rPr>
        <w:t>x</w:t>
      </w:r>
      <w:r>
        <w:rPr>
          <w:bCs/>
          <w:vertAlign w:val="subscript"/>
          <w:lang w:val="sr-Latn-CS"/>
        </w:rPr>
        <w:t>n</w:t>
      </w:r>
      <w:r>
        <w:rPr>
          <w:bCs/>
          <w:lang w:val="sr-Latn-CS"/>
        </w:rPr>
        <w:t xml:space="preserve">), pri čemu je </w:t>
      </w:r>
      <w:r>
        <w:rPr>
          <w:bCs/>
          <w:i/>
          <w:lang w:val="sr-Latn-CS"/>
        </w:rPr>
        <w:t>p</w:t>
      </w:r>
      <w:r>
        <w:rPr>
          <w:bCs/>
          <w:lang w:val="sr-Latn-CS"/>
        </w:rPr>
        <w:t>=(</w:t>
      </w:r>
      <w:r>
        <w:rPr>
          <w:bCs/>
          <w:i/>
          <w:lang w:val="sr-Latn-CS"/>
        </w:rPr>
        <w:t>p</w:t>
      </w:r>
      <w:r>
        <w:rPr>
          <w:bCs/>
          <w:vertAlign w:val="subscript"/>
          <w:lang w:val="sr-Latn-CS"/>
        </w:rPr>
        <w:t>1</w:t>
      </w:r>
      <w:r>
        <w:rPr>
          <w:bCs/>
          <w:lang w:val="sr-Latn-CS"/>
        </w:rPr>
        <w:t xml:space="preserve">, </w:t>
      </w:r>
      <w:r>
        <w:rPr>
          <w:bCs/>
          <w:i/>
          <w:lang w:val="sr-Latn-CS"/>
        </w:rPr>
        <w:t>p</w:t>
      </w:r>
      <w:r>
        <w:rPr>
          <w:bCs/>
          <w:vertAlign w:val="subscript"/>
          <w:lang w:val="sr-Latn-CS"/>
        </w:rPr>
        <w:t>2</w:t>
      </w:r>
      <w:r>
        <w:rPr>
          <w:bCs/>
          <w:lang w:val="sr-Latn-CS"/>
        </w:rPr>
        <w:t xml:space="preserve">, </w:t>
      </w:r>
      <w:r>
        <w:rPr>
          <w:bCs/>
          <w:i/>
          <w:lang w:val="sr-Latn-CS"/>
        </w:rPr>
        <w:t>p</w:t>
      </w:r>
      <w:r>
        <w:rPr>
          <w:bCs/>
          <w:vertAlign w:val="subscript"/>
          <w:lang w:val="sr-Latn-CS"/>
        </w:rPr>
        <w:t>3</w:t>
      </w:r>
      <w:r>
        <w:rPr>
          <w:bCs/>
          <w:lang w:val="sr-Latn-CS"/>
        </w:rPr>
        <w:t>...</w:t>
      </w:r>
      <w:r>
        <w:rPr>
          <w:bCs/>
          <w:i/>
          <w:lang w:val="sr-Latn-CS"/>
        </w:rPr>
        <w:t>p</w:t>
      </w:r>
      <w:r>
        <w:rPr>
          <w:bCs/>
          <w:vertAlign w:val="subscript"/>
          <w:lang w:val="sr-Latn-CS"/>
        </w:rPr>
        <w:t>n</w:t>
      </w:r>
      <w:r>
        <w:rPr>
          <w:bCs/>
          <w:lang w:val="sr-Latn-CS"/>
        </w:rPr>
        <w:t xml:space="preserve">) nepoznat parametar. Odgovor sistema </w:t>
      </w:r>
      <w:r>
        <w:rPr>
          <w:bCs/>
          <w:i/>
          <w:lang w:val="sr-Latn-CS"/>
        </w:rPr>
        <w:t>y</w:t>
      </w:r>
      <w:r>
        <w:rPr>
          <w:bCs/>
          <w:lang w:val="sr-Latn-CS"/>
        </w:rPr>
        <w:t xml:space="preserve">, analizira se kao funkcija nezavisno promenljivih </w:t>
      </w:r>
      <w:r>
        <w:rPr>
          <w:bCs/>
          <w:i/>
          <w:lang w:val="sr-Latn-CS"/>
        </w:rPr>
        <w:t>x</w:t>
      </w:r>
      <w:r>
        <w:rPr>
          <w:bCs/>
          <w:lang w:val="sr-Latn-CS"/>
        </w:rPr>
        <w:t xml:space="preserve">. U svakom sistemu susrećemo se sa dve ili više nezavisno promenljive (na primer, koncentracija reagenasa, pH, vreme trajanja reakcije, itd.) i one ograničavaju zavisno promenljivu veličinu koja predstavlja odgovor sistema na date eksperimentalne uslove. Nezavisno promenljive nazivaju se </w:t>
      </w:r>
      <w:r w:rsidRPr="003C415B">
        <w:rPr>
          <w:b/>
          <w:bCs/>
          <w:lang w:val="sr-Latn-CS"/>
        </w:rPr>
        <w:t>faktorima</w:t>
      </w:r>
      <w:r>
        <w:rPr>
          <w:bCs/>
          <w:lang w:val="sr-Latn-CS"/>
        </w:rPr>
        <w:t xml:space="preserve">, a broj načina na koji variraju promenljive obično se naziva </w:t>
      </w:r>
      <w:r w:rsidRPr="003C415B">
        <w:rPr>
          <w:b/>
          <w:bCs/>
          <w:lang w:val="sr-Latn-CS"/>
        </w:rPr>
        <w:t>brojem nivoa faktora</w:t>
      </w:r>
      <w:r>
        <w:rPr>
          <w:bCs/>
          <w:lang w:val="sr-Latn-CS"/>
        </w:rPr>
        <w:t xml:space="preserve"> (na pr. pH 4 i pH 7 su dva nivoa faktora pH). </w:t>
      </w:r>
    </w:p>
    <w:p w:rsidR="00B24895" w:rsidRDefault="00B24895" w:rsidP="00B24895">
      <w:pPr>
        <w:autoSpaceDE w:val="0"/>
        <w:autoSpaceDN w:val="0"/>
        <w:adjustRightInd w:val="0"/>
        <w:rPr>
          <w:bCs/>
          <w:lang w:val="sr-Latn-CS"/>
        </w:rPr>
      </w:pPr>
    </w:p>
    <w:p w:rsidR="00BC7CAB" w:rsidRDefault="00B24895" w:rsidP="00B24895">
      <w:pPr>
        <w:autoSpaceDE w:val="0"/>
        <w:autoSpaceDN w:val="0"/>
        <w:adjustRightInd w:val="0"/>
        <w:rPr>
          <w:bCs/>
          <w:lang w:val="sr-Latn-CS"/>
        </w:rPr>
      </w:pPr>
      <w:r>
        <w:rPr>
          <w:bCs/>
          <w:lang w:val="sr-Latn-CS"/>
        </w:rPr>
        <w:t xml:space="preserve">Serije testova koje uključuju promene polaznih varijabila sistema izvode se kako bi promene u odgovoru sistema mogle da budu identifikovane. Postoje dve eksperimentalne strategije koje se u ovu svrhu koriste: </w:t>
      </w:r>
      <w:r w:rsidRPr="00BC7CAB">
        <w:rPr>
          <w:b/>
          <w:bCs/>
          <w:lang w:val="sr-Latn-CS"/>
        </w:rPr>
        <w:t>promena jednog faktora</w:t>
      </w:r>
      <w:r>
        <w:rPr>
          <w:bCs/>
          <w:lang w:val="sr-Latn-CS"/>
        </w:rPr>
        <w:t xml:space="preserve"> uz uslov da su ostali faktori konstantni i </w:t>
      </w:r>
      <w:r w:rsidRPr="00BC7CAB">
        <w:rPr>
          <w:b/>
          <w:bCs/>
          <w:lang w:val="sr-Latn-CS"/>
        </w:rPr>
        <w:t>primena eksperimentalnog dizajna</w:t>
      </w:r>
      <w:r>
        <w:rPr>
          <w:bCs/>
          <w:lang w:val="sr-Latn-CS"/>
        </w:rPr>
        <w:t xml:space="preserve"> [</w:t>
      </w:r>
      <w:r>
        <w:rPr>
          <w:rStyle w:val="EndnoteReference"/>
          <w:bCs/>
          <w:lang w:val="sr-Latn-CS"/>
        </w:rPr>
        <w:endnoteReference w:id="2"/>
      </w:r>
      <w:r>
        <w:rPr>
          <w:bCs/>
          <w:lang w:val="sr-Latn-CS"/>
        </w:rPr>
        <w:t xml:space="preserve">]. </w:t>
      </w:r>
    </w:p>
    <w:p w:rsidR="00BC7CAB" w:rsidRDefault="00BC7CAB" w:rsidP="00B24895">
      <w:pPr>
        <w:autoSpaceDE w:val="0"/>
        <w:autoSpaceDN w:val="0"/>
        <w:adjustRightInd w:val="0"/>
        <w:rPr>
          <w:bCs/>
          <w:lang w:val="sr-Latn-CS"/>
        </w:rPr>
      </w:pPr>
    </w:p>
    <w:p w:rsidR="00FD3F42" w:rsidRDefault="00B24895" w:rsidP="00B24895">
      <w:pPr>
        <w:autoSpaceDE w:val="0"/>
        <w:autoSpaceDN w:val="0"/>
        <w:adjustRightInd w:val="0"/>
        <w:rPr>
          <w:bCs/>
          <w:lang w:val="sr-Latn-CS"/>
        </w:rPr>
      </w:pPr>
      <w:r>
        <w:rPr>
          <w:bCs/>
          <w:lang w:val="sr-Latn-CS"/>
        </w:rPr>
        <w:t>Do dvadesetih godina prošlog veka efekat više faktora na odgovor sistema ispitivan je isključivo pristupom „</w:t>
      </w:r>
      <w:r w:rsidRPr="00FD3F42">
        <w:rPr>
          <w:b/>
          <w:bCs/>
          <w:lang w:val="sr-Latn-CS"/>
        </w:rPr>
        <w:t>one factor at a time</w:t>
      </w:r>
      <w:r>
        <w:rPr>
          <w:bCs/>
          <w:lang w:val="sr-Latn-CS"/>
        </w:rPr>
        <w:t xml:space="preserve">”. Pri ovakvom izvođenju eksperimenata svi faktori osim jednog obično su održavani na niskom nivou, a odgovor sistema je zatim procenjivan na niskom i visokom nivou faktora čiji se efekat ispituje. Smatralo se da se istovremenom promenom nivoa više faktora ne može uočiti efekat pojedinog faktora. Sistematska promena jednog faktora, dok se svi ostali održavaju na nekom konstantnom nivou, postepeno dovodi do definisanja </w:t>
      </w:r>
      <w:r w:rsidRPr="009E40FB">
        <w:rPr>
          <w:b/>
          <w:bCs/>
          <w:lang w:val="sr-Latn-CS"/>
        </w:rPr>
        <w:t>individualnog optimuma datog faktora</w:t>
      </w:r>
      <w:r>
        <w:rPr>
          <w:bCs/>
          <w:lang w:val="sr-Latn-CS"/>
        </w:rPr>
        <w:t xml:space="preserve">. </w:t>
      </w:r>
    </w:p>
    <w:p w:rsidR="00B24895" w:rsidRDefault="00B24895" w:rsidP="00B24895">
      <w:pPr>
        <w:autoSpaceDE w:val="0"/>
        <w:autoSpaceDN w:val="0"/>
        <w:adjustRightInd w:val="0"/>
        <w:rPr>
          <w:bCs/>
          <w:lang w:val="sr-Latn-CS"/>
        </w:rPr>
      </w:pPr>
      <w:r>
        <w:rPr>
          <w:bCs/>
          <w:lang w:val="sr-Latn-CS"/>
        </w:rPr>
        <w:t>Glavni nedostaci ove strategije su nemogućnost da se uoče interakcije između različitih faktora, teškoće u pronalaženju pravog optimuma sistema i neophodnost izvođenja velikog broja eksperimenata.</w:t>
      </w:r>
    </w:p>
    <w:p w:rsidR="00B24895" w:rsidRDefault="00B24895" w:rsidP="00B24895">
      <w:pPr>
        <w:autoSpaceDE w:val="0"/>
        <w:autoSpaceDN w:val="0"/>
        <w:adjustRightInd w:val="0"/>
        <w:rPr>
          <w:bCs/>
          <w:lang w:val="sr-Latn-CS"/>
        </w:rPr>
      </w:pPr>
    </w:p>
    <w:p w:rsidR="00B24895" w:rsidRDefault="00B24895" w:rsidP="00B24895">
      <w:pPr>
        <w:autoSpaceDE w:val="0"/>
        <w:autoSpaceDN w:val="0"/>
        <w:adjustRightInd w:val="0"/>
        <w:rPr>
          <w:bCs/>
          <w:lang w:val="sr-Latn-CS"/>
        </w:rPr>
      </w:pPr>
      <w:r w:rsidRPr="007762BF">
        <w:rPr>
          <w:b/>
          <w:bCs/>
          <w:lang w:val="sr-Latn-CS"/>
        </w:rPr>
        <w:t>Eksperimentalni dizajn</w:t>
      </w:r>
      <w:r>
        <w:rPr>
          <w:bCs/>
          <w:lang w:val="sr-Latn-CS"/>
        </w:rPr>
        <w:t xml:space="preserve"> predstavlja sistematični metod u planiranju eksperimenata kako bi oni bili izvedeni na dobro organizovan i efikasan način. Britanski naučnik, R. A. Fisher [</w:t>
      </w:r>
      <w:r>
        <w:rPr>
          <w:rStyle w:val="EndnoteReference"/>
          <w:bCs/>
          <w:lang w:val="sr-Latn-CS"/>
        </w:rPr>
        <w:endnoteReference w:id="3"/>
      </w:r>
      <w:r>
        <w:rPr>
          <w:bCs/>
          <w:lang w:val="sr-Latn-CS"/>
        </w:rPr>
        <w:t>] započeo je 1925. godine razvoj metoda statističkog eksperimentalnog dizajna, kod koga se svi faktori menjaju istovremeno. Da bi se ovakav pristup uspešno primenio u dizajniranju i analizi eksperimenata potrebno je da se:</w:t>
      </w:r>
    </w:p>
    <w:p w:rsidR="00B24895" w:rsidRDefault="00B24895" w:rsidP="00B24895">
      <w:pPr>
        <w:numPr>
          <w:ilvl w:val="0"/>
          <w:numId w:val="1"/>
        </w:numPr>
        <w:tabs>
          <w:tab w:val="clear" w:pos="780"/>
          <w:tab w:val="num" w:pos="540"/>
        </w:tabs>
        <w:autoSpaceDE w:val="0"/>
        <w:autoSpaceDN w:val="0"/>
        <w:adjustRightInd w:val="0"/>
        <w:ind w:left="540"/>
        <w:rPr>
          <w:lang w:val="sr-Latn-CS"/>
        </w:rPr>
      </w:pPr>
      <w:r>
        <w:rPr>
          <w:lang w:val="sr-Latn-CS"/>
        </w:rPr>
        <w:t>utvrde glavni ciljevi eksperimenta,</w:t>
      </w:r>
    </w:p>
    <w:p w:rsidR="00B24895" w:rsidRDefault="00B24895" w:rsidP="00B24895">
      <w:pPr>
        <w:numPr>
          <w:ilvl w:val="0"/>
          <w:numId w:val="1"/>
        </w:numPr>
        <w:tabs>
          <w:tab w:val="clear" w:pos="780"/>
          <w:tab w:val="num" w:pos="540"/>
        </w:tabs>
        <w:autoSpaceDE w:val="0"/>
        <w:autoSpaceDN w:val="0"/>
        <w:adjustRightInd w:val="0"/>
        <w:ind w:left="540"/>
        <w:rPr>
          <w:lang w:val="sr-Latn-CS"/>
        </w:rPr>
      </w:pPr>
      <w:r>
        <w:rPr>
          <w:lang w:val="sr-Latn-CS"/>
        </w:rPr>
        <w:t>izaberu faktori čiji će uticaj biti analiziran, definiše opseg unutar kog će se varirati vrednosti faktora, kao i specifični nivoi faktora pri kojima će se izvoditi eksperimenti,</w:t>
      </w:r>
    </w:p>
    <w:p w:rsidR="00B24895" w:rsidRDefault="00B24895" w:rsidP="00B24895">
      <w:pPr>
        <w:numPr>
          <w:ilvl w:val="0"/>
          <w:numId w:val="1"/>
        </w:numPr>
        <w:tabs>
          <w:tab w:val="clear" w:pos="780"/>
          <w:tab w:val="num" w:pos="540"/>
        </w:tabs>
        <w:autoSpaceDE w:val="0"/>
        <w:autoSpaceDN w:val="0"/>
        <w:adjustRightInd w:val="0"/>
        <w:ind w:left="540"/>
        <w:rPr>
          <w:lang w:val="sr-Latn-CS"/>
        </w:rPr>
      </w:pPr>
      <w:r>
        <w:rPr>
          <w:lang w:val="sr-Latn-CS"/>
        </w:rPr>
        <w:t>izaberu izlazne karakteristike sistema koje će davati korisne informacije o ispitivanom procesu,</w:t>
      </w:r>
    </w:p>
    <w:p w:rsidR="00B24895" w:rsidRDefault="00B24895" w:rsidP="00B24895">
      <w:pPr>
        <w:numPr>
          <w:ilvl w:val="0"/>
          <w:numId w:val="1"/>
        </w:numPr>
        <w:tabs>
          <w:tab w:val="clear" w:pos="780"/>
          <w:tab w:val="num" w:pos="540"/>
        </w:tabs>
        <w:autoSpaceDE w:val="0"/>
        <w:autoSpaceDN w:val="0"/>
        <w:adjustRightInd w:val="0"/>
        <w:ind w:left="540"/>
        <w:rPr>
          <w:lang w:val="sr-Latn-CS"/>
        </w:rPr>
      </w:pPr>
      <w:r>
        <w:rPr>
          <w:lang w:val="sr-Latn-CS"/>
        </w:rPr>
        <w:t xml:space="preserve">izvrši izbor odgovarajućeg eksperimentalnog dizajna (najčešće pomoću interaktivnih statističkih softvera, na osnovu broja faktora i drugih ulaznih podataka), </w:t>
      </w:r>
    </w:p>
    <w:p w:rsidR="00B24895" w:rsidRDefault="00B24895" w:rsidP="00B24895">
      <w:pPr>
        <w:numPr>
          <w:ilvl w:val="0"/>
          <w:numId w:val="1"/>
        </w:numPr>
        <w:tabs>
          <w:tab w:val="clear" w:pos="780"/>
          <w:tab w:val="num" w:pos="540"/>
        </w:tabs>
        <w:autoSpaceDE w:val="0"/>
        <w:autoSpaceDN w:val="0"/>
        <w:adjustRightInd w:val="0"/>
        <w:ind w:left="540"/>
        <w:rPr>
          <w:lang w:val="sr-Latn-CS"/>
        </w:rPr>
      </w:pPr>
      <w:r>
        <w:rPr>
          <w:lang w:val="sr-Latn-CS"/>
        </w:rPr>
        <w:t>eksperimenti urade uz pažljivu kontrolu svih faktora prema odabranom dizajnu,</w:t>
      </w:r>
    </w:p>
    <w:p w:rsidR="00B24895" w:rsidRDefault="00B24895" w:rsidP="00B24895">
      <w:pPr>
        <w:numPr>
          <w:ilvl w:val="0"/>
          <w:numId w:val="1"/>
        </w:numPr>
        <w:tabs>
          <w:tab w:val="clear" w:pos="780"/>
          <w:tab w:val="num" w:pos="540"/>
        </w:tabs>
        <w:autoSpaceDE w:val="0"/>
        <w:autoSpaceDN w:val="0"/>
        <w:adjustRightInd w:val="0"/>
        <w:ind w:left="540"/>
        <w:rPr>
          <w:lang w:val="sr-Latn-CS"/>
        </w:rPr>
      </w:pPr>
      <w:r>
        <w:rPr>
          <w:lang w:val="sr-Latn-CS"/>
        </w:rPr>
        <w:t>dobijeni rezultati analiziraju statističkim metodama,</w:t>
      </w:r>
    </w:p>
    <w:p w:rsidR="00B24895" w:rsidRDefault="00B24895" w:rsidP="00B24895">
      <w:pPr>
        <w:numPr>
          <w:ilvl w:val="0"/>
          <w:numId w:val="1"/>
        </w:numPr>
        <w:tabs>
          <w:tab w:val="clear" w:pos="780"/>
          <w:tab w:val="num" w:pos="540"/>
        </w:tabs>
        <w:autoSpaceDE w:val="0"/>
        <w:autoSpaceDN w:val="0"/>
        <w:adjustRightInd w:val="0"/>
        <w:ind w:left="540"/>
        <w:rPr>
          <w:lang w:val="sr-Latn-CS"/>
        </w:rPr>
      </w:pPr>
      <w:r>
        <w:rPr>
          <w:lang w:val="sr-Latn-CS"/>
        </w:rPr>
        <w:t>izvedu odgovarajući zaključci.</w:t>
      </w:r>
    </w:p>
    <w:p w:rsidR="00B24895" w:rsidRDefault="00B24895" w:rsidP="00B24895">
      <w:pPr>
        <w:autoSpaceDE w:val="0"/>
        <w:autoSpaceDN w:val="0"/>
        <w:adjustRightInd w:val="0"/>
        <w:rPr>
          <w:lang w:val="sr-Latn-CS"/>
        </w:rPr>
      </w:pPr>
    </w:p>
    <w:p w:rsidR="007762BF" w:rsidRDefault="00B24895" w:rsidP="00B24895">
      <w:pPr>
        <w:autoSpaceDE w:val="0"/>
        <w:autoSpaceDN w:val="0"/>
        <w:adjustRightInd w:val="0"/>
        <w:rPr>
          <w:lang w:val="sr-Latn-CS"/>
        </w:rPr>
      </w:pPr>
      <w:r>
        <w:rPr>
          <w:lang w:val="sr-Latn-CS"/>
        </w:rPr>
        <w:t>Korišćenjem ovakve metodologije, razlikuju se dva osnovna pristupa primene eksperimentalnog dizajna</w:t>
      </w:r>
      <w:r w:rsidR="007762BF">
        <w:rPr>
          <w:lang w:val="sr-Latn-CS"/>
        </w:rPr>
        <w:t>:</w:t>
      </w:r>
    </w:p>
    <w:p w:rsidR="007762BF" w:rsidRDefault="007762BF" w:rsidP="00B24895">
      <w:pPr>
        <w:autoSpaceDE w:val="0"/>
        <w:autoSpaceDN w:val="0"/>
        <w:adjustRightInd w:val="0"/>
        <w:rPr>
          <w:lang w:val="sr-Latn-CS"/>
        </w:rPr>
      </w:pPr>
      <w:r w:rsidRPr="007762BF">
        <w:rPr>
          <w:b/>
          <w:lang w:val="sr-Latn-CS"/>
        </w:rPr>
        <w:t>Prvi</w:t>
      </w:r>
      <w:r w:rsidR="00B24895" w:rsidRPr="007762BF">
        <w:rPr>
          <w:b/>
          <w:lang w:val="sr-Latn-CS"/>
        </w:rPr>
        <w:t xml:space="preserve"> pristup</w:t>
      </w:r>
      <w:r w:rsidR="00B24895">
        <w:rPr>
          <w:lang w:val="sr-Latn-CS"/>
        </w:rPr>
        <w:t xml:space="preserve"> se koristi u početnoj fazi istraživanja i daje odgovor na pitanje koji faktori imaju najveći uticaj na odgovor sistema i da li postoji sinergizam između faktora. </w:t>
      </w:r>
    </w:p>
    <w:p w:rsidR="00B24895" w:rsidRDefault="00B24895" w:rsidP="00B24895">
      <w:pPr>
        <w:autoSpaceDE w:val="0"/>
        <w:autoSpaceDN w:val="0"/>
        <w:adjustRightInd w:val="0"/>
        <w:rPr>
          <w:lang w:val="sr-Latn-CS"/>
        </w:rPr>
      </w:pPr>
      <w:r w:rsidRPr="007762BF">
        <w:rPr>
          <w:b/>
          <w:lang w:val="sr-Latn-CS"/>
        </w:rPr>
        <w:t>Drugi pristup</w:t>
      </w:r>
      <w:r>
        <w:rPr>
          <w:lang w:val="sr-Latn-CS"/>
        </w:rPr>
        <w:t xml:space="preserve">, sledi nakon prvog i omogućava da se odrede optimalni uslovi za funkcionisanje sistema </w:t>
      </w:r>
      <w:r>
        <w:rPr>
          <w:color w:val="000000"/>
          <w:lang w:val="sr-Latn-CS"/>
        </w:rPr>
        <w:t>[</w:t>
      </w:r>
      <w:r>
        <w:rPr>
          <w:rStyle w:val="EndnoteReference"/>
          <w:color w:val="000000"/>
          <w:lang w:val="sr-Latn-CS"/>
        </w:rPr>
        <w:endnoteReference w:id="4"/>
      </w:r>
      <w:r>
        <w:rPr>
          <w:color w:val="000000"/>
          <w:lang w:val="sr-Latn-CS"/>
        </w:rPr>
        <w:t>]. Pošto se eksperimentalni dizajn zasniva na korišćenju matematičkih modela, generisani modeli se evaluiraju kroz analizu varijansi (</w:t>
      </w:r>
      <w:r>
        <w:rPr>
          <w:i/>
          <w:color w:val="000000"/>
          <w:lang w:val="sr-Latn-CS"/>
        </w:rPr>
        <w:t>engl</w:t>
      </w:r>
      <w:r>
        <w:rPr>
          <w:color w:val="000000"/>
          <w:lang w:val="sr-Latn-CS"/>
        </w:rPr>
        <w:t>.-analysis of variance, ANOVA).</w:t>
      </w:r>
      <w:r>
        <w:rPr>
          <w:lang w:val="sr-Latn-CS"/>
        </w:rPr>
        <w:t xml:space="preserve"> </w:t>
      </w:r>
    </w:p>
    <w:p w:rsidR="00B24895" w:rsidRDefault="00B24895" w:rsidP="00B24895">
      <w:pPr>
        <w:rPr>
          <w:lang w:val="sr-Latn-CS"/>
        </w:rPr>
      </w:pPr>
    </w:p>
    <w:p w:rsidR="00B24895" w:rsidRDefault="00B24895" w:rsidP="00B24895">
      <w:pPr>
        <w:rPr>
          <w:bCs/>
          <w:lang w:val="sr-Latn-CS"/>
        </w:rPr>
      </w:pPr>
      <w:r>
        <w:rPr>
          <w:lang w:val="sr-Latn-CS"/>
        </w:rPr>
        <w:t>Metode eksperimentalnog dizajna često se koriste u indistriji za empirijsku analizu veze između polaznih varijabila i finalnog proizvoda [</w:t>
      </w:r>
      <w:bookmarkStart w:id="0" w:name="_Ref134504554"/>
      <w:r>
        <w:rPr>
          <w:rStyle w:val="EndnoteReference"/>
          <w:lang w:val="sr-Latn-CS"/>
        </w:rPr>
        <w:endnoteReference w:id="5"/>
      </w:r>
      <w:bookmarkEnd w:id="0"/>
      <w:r>
        <w:rPr>
          <w:lang w:val="sr-Latn-CS"/>
        </w:rPr>
        <w:t>], u analitičkoj hemiji za optimizaciju metoda [</w:t>
      </w:r>
      <w:r>
        <w:rPr>
          <w:rStyle w:val="EndnoteReference"/>
          <w:lang w:val="sr-Latn-CS"/>
        </w:rPr>
        <w:endnoteReference w:id="6"/>
      </w:r>
      <w:r>
        <w:rPr>
          <w:lang w:val="sr-Latn-CS"/>
        </w:rPr>
        <w:t>], u preparativnoj hemiji pri ispitivanju uticaja parametara sinteze na svojstva proizvoda [</w:t>
      </w:r>
      <w:r>
        <w:rPr>
          <w:rStyle w:val="EndnoteReference"/>
          <w:lang w:val="sr-Latn-CS"/>
        </w:rPr>
        <w:endnoteReference w:id="7"/>
      </w:r>
      <w:r>
        <w:rPr>
          <w:lang w:val="sr-Latn-CS"/>
        </w:rPr>
        <w:t>,</w:t>
      </w:r>
      <w:r>
        <w:rPr>
          <w:rStyle w:val="EndnoteReference"/>
          <w:lang w:val="sr-Latn-CS"/>
        </w:rPr>
        <w:endnoteReference w:id="8"/>
      </w:r>
      <w:r>
        <w:rPr>
          <w:lang w:val="sr-Latn-CS"/>
        </w:rPr>
        <w:t>], u izučavanju sorpcionih procesa [</w:t>
      </w:r>
      <w:r>
        <w:rPr>
          <w:rStyle w:val="EndnoteReference"/>
          <w:lang w:val="sr-Latn-CS"/>
        </w:rPr>
        <w:endnoteReference w:id="9"/>
      </w:r>
      <w:r>
        <w:rPr>
          <w:color w:val="000000"/>
          <w:lang w:val="sr-Latn-CS"/>
        </w:rPr>
        <w:t>], optimizaciji procesa prečišćavanja otpadnih voda [</w:t>
      </w:r>
      <w:r>
        <w:rPr>
          <w:rStyle w:val="EndnoteReference"/>
          <w:color w:val="000000"/>
          <w:lang w:val="sr-Latn-CS"/>
        </w:rPr>
        <w:endnoteReference w:id="10"/>
      </w:r>
      <w:r>
        <w:rPr>
          <w:lang w:val="sr-Latn-CS"/>
        </w:rPr>
        <w:t>,</w:t>
      </w:r>
      <w:r>
        <w:rPr>
          <w:rStyle w:val="EndnoteReference"/>
          <w:lang w:val="sr-Latn-CS"/>
        </w:rPr>
        <w:endnoteReference w:id="11"/>
      </w:r>
      <w:r>
        <w:rPr>
          <w:bCs/>
          <w:lang w:val="sr-Latn-CS"/>
        </w:rPr>
        <w:t>], itd.</w:t>
      </w:r>
    </w:p>
    <w:p w:rsidR="00B24895" w:rsidRDefault="00B24895" w:rsidP="00B24895">
      <w:pPr>
        <w:autoSpaceDE w:val="0"/>
        <w:autoSpaceDN w:val="0"/>
        <w:adjustRightInd w:val="0"/>
        <w:rPr>
          <w:lang w:val="sr-Latn-CS"/>
        </w:rPr>
      </w:pPr>
    </w:p>
    <w:p w:rsidR="00B24895" w:rsidRDefault="00B24895" w:rsidP="00B24895">
      <w:pPr>
        <w:autoSpaceDE w:val="0"/>
        <w:autoSpaceDN w:val="0"/>
        <w:adjustRightInd w:val="0"/>
        <w:rPr>
          <w:lang w:val="sr-Latn-CS"/>
        </w:rPr>
      </w:pPr>
      <w:r>
        <w:rPr>
          <w:lang w:val="sr-Latn-CS"/>
        </w:rPr>
        <w:lastRenderedPageBreak/>
        <w:t xml:space="preserve">Najznačajniji korak predstavlja pravilan izbor odgovarajućeg eksperimentalnog dizajna (faktorski, frakcionisani faktorski dizajn, crtanje površine odgovora), a on je pre svega uslovljen brojem faktora. </w:t>
      </w:r>
    </w:p>
    <w:p w:rsidR="00B24895" w:rsidRDefault="00B24895" w:rsidP="00B24895">
      <w:pPr>
        <w:autoSpaceDE w:val="0"/>
        <w:autoSpaceDN w:val="0"/>
        <w:adjustRightInd w:val="0"/>
        <w:rPr>
          <w:bCs/>
          <w:lang w:val="sr-Latn-CS"/>
        </w:rPr>
      </w:pPr>
    </w:p>
    <w:p w:rsidR="00B24895" w:rsidRDefault="00B24895" w:rsidP="00B24895">
      <w:pPr>
        <w:autoSpaceDE w:val="0"/>
        <w:autoSpaceDN w:val="0"/>
        <w:adjustRightInd w:val="0"/>
        <w:rPr>
          <w:bCs/>
          <w:lang w:val="sr-Latn-CS"/>
        </w:rPr>
      </w:pPr>
      <w:r>
        <w:rPr>
          <w:bCs/>
          <w:lang w:val="sr-Latn-CS"/>
        </w:rPr>
        <w:t xml:space="preserve">Ukoliko performansa sistema zavisi od svega nekoliko faktora, potpun faktorski dizajn predstavlja pravilan izbor eksperimentalnog dizajna. Povećanjem broja faktora koji utiču na odgovor sistema, povećava se i broj eksperimenata potrebnih za evaluaciju faktora. Problem je rešen smanjenjem broja nivoa u oblasti od interesa za svaku promenljivu na dva nivoa (niski i visoki). Time broj eksperimenata za potpun faktorski dizajn koji obuhvata </w:t>
      </w:r>
      <w:r w:rsidRPr="00865482">
        <w:rPr>
          <w:b/>
          <w:bCs/>
          <w:lang w:val="sr-Latn-CS"/>
        </w:rPr>
        <w:t>n</w:t>
      </w:r>
      <w:r>
        <w:rPr>
          <w:bCs/>
          <w:lang w:val="sr-Latn-CS"/>
        </w:rPr>
        <w:t xml:space="preserve"> faktora i </w:t>
      </w:r>
      <w:r w:rsidRPr="00865482">
        <w:rPr>
          <w:b/>
          <w:bCs/>
          <w:lang w:val="sr-Latn-CS"/>
        </w:rPr>
        <w:t>dva nivoa</w:t>
      </w:r>
      <w:r>
        <w:rPr>
          <w:bCs/>
          <w:lang w:val="sr-Latn-CS"/>
        </w:rPr>
        <w:t xml:space="preserve"> za svaki faktor iznosi </w:t>
      </w:r>
      <w:r w:rsidRPr="00865482">
        <w:rPr>
          <w:b/>
          <w:bCs/>
          <w:lang w:val="sr-Latn-CS"/>
        </w:rPr>
        <w:t>2</w:t>
      </w:r>
      <w:r w:rsidRPr="00865482">
        <w:rPr>
          <w:b/>
          <w:bCs/>
          <w:vertAlign w:val="superscript"/>
          <w:lang w:val="sr-Latn-CS"/>
        </w:rPr>
        <w:t>n</w:t>
      </w:r>
      <w:r>
        <w:rPr>
          <w:bCs/>
          <w:lang w:val="sr-Latn-CS"/>
        </w:rPr>
        <w:t>. Faktorski dizajn zanemaruje činjenicu da su neke promenljive kontinualne a neke diskretne [</w:t>
      </w:r>
      <w:r>
        <w:rPr>
          <w:rStyle w:val="EndnoteReference"/>
          <w:bCs/>
          <w:lang w:val="sr-Latn-CS"/>
        </w:rPr>
        <w:endnoteReference w:id="12"/>
      </w:r>
      <w:r>
        <w:rPr>
          <w:bCs/>
          <w:lang w:val="sr-Latn-CS"/>
        </w:rPr>
        <w:t xml:space="preserve">]. Ako je promenljiva kontinualna, rezultati analize znatno zavise od izbora faktorskih nivoa pri kojima se izvode eksperimenti. Postoji verovatnoća da se ispitivanja odvijaju pri dva veoma bliska nivoa, kada se efekat faktora na odgovor sistema pokazuje kao zanemarljiv, ili pri dva veoma udaljena nivoa, kada se optimalni nivo faktora može potpuno promašiti. Zbog toga je za izbor oblasti od interesa i nivoa faktora u okviru te oblasti neophodno iskustvo eksperimentatora i dobro poznavanje procesa. </w:t>
      </w:r>
      <w:r w:rsidRPr="00865482">
        <w:rPr>
          <w:b/>
          <w:bCs/>
          <w:lang w:val="sr-Latn-CS"/>
        </w:rPr>
        <w:t>U potpunom faktorskom dizajnu ispituju se sve moguće kombinacije faktora, pri svim nivoima.</w:t>
      </w:r>
      <w:r>
        <w:rPr>
          <w:bCs/>
          <w:lang w:val="sr-Latn-CS"/>
        </w:rPr>
        <w:t xml:space="preserve"> Dobijeni eksperimentalni rezultati služe za procenu uticaja pojedinih faktora, kao i za procenu interakcije između faktora. Ukoliko su faktori međusobno zavisni, efekat jednog faktora menja se zavisno od kombinacije ostalih faktora. Efekat faktora definiše se kao promena u odgovoru sistema izazvana promenom nivoa faktora. </w:t>
      </w:r>
    </w:p>
    <w:p w:rsidR="00B24895" w:rsidRDefault="00B24895" w:rsidP="00B24895">
      <w:pPr>
        <w:autoSpaceDE w:val="0"/>
        <w:autoSpaceDN w:val="0"/>
        <w:adjustRightInd w:val="0"/>
        <w:rPr>
          <w:bCs/>
          <w:lang w:val="sr-Latn-CS"/>
        </w:rPr>
      </w:pPr>
    </w:p>
    <w:p w:rsidR="00B24895" w:rsidRDefault="00B24895" w:rsidP="00B24895">
      <w:pPr>
        <w:autoSpaceDE w:val="0"/>
        <w:autoSpaceDN w:val="0"/>
        <w:adjustRightInd w:val="0"/>
        <w:rPr>
          <w:color w:val="000000"/>
          <w:lang w:val="sr-Latn-CS"/>
        </w:rPr>
      </w:pPr>
      <w:r>
        <w:rPr>
          <w:bCs/>
          <w:lang w:val="sr-Latn-CS"/>
        </w:rPr>
        <w:t>Ako je broj faktora koji utiču na odgovor sistema veliki, primena potpunog faktorskog dizajna postaje neadekvatna. Na primer, ukoliko performansa sistema zavisi od 6 faktora, za potpun faktorski dizajn potrebno je izvesti 2</w:t>
      </w:r>
      <w:r>
        <w:rPr>
          <w:bCs/>
          <w:vertAlign w:val="superscript"/>
          <w:lang w:val="sr-Latn-CS"/>
        </w:rPr>
        <w:t>6</w:t>
      </w:r>
      <w:r>
        <w:rPr>
          <w:bCs/>
          <w:lang w:val="sr-Latn-CS"/>
        </w:rPr>
        <w:t xml:space="preserve">=64 eksperimenata. U ovakvom dizajnu od mogućih 63 stepena slobode, samo 6 se odnose na efekte samih faktora, 15 na interakcije između 2 faktora, a preostalih 42 stepena slobode su povezana sa interakcijama između 3 i više parametara. Ukoliko se predpostavi da su interakcije višeg reda zanemarljive, informacije o efektima faktora i interakcijama nižeg reda mogu se dobiti izvođenjem jednog dela eksperimenata potrebnih za potpun faktorski dizajn. Ovakav dizajn naziva se </w:t>
      </w:r>
      <w:r>
        <w:rPr>
          <w:b/>
          <w:bCs/>
          <w:lang w:val="sr-Latn-CS"/>
        </w:rPr>
        <w:t xml:space="preserve">frakcionisani faktorski dizajn </w:t>
      </w:r>
      <w:r>
        <w:rPr>
          <w:bCs/>
          <w:lang w:val="sr-Latn-CS"/>
        </w:rPr>
        <w:t xml:space="preserve">(FFD), i najčešće se koristi za takozvane „screening” eksperimente. Ovi eksperimenti se primenjuju u </w:t>
      </w:r>
      <w:r>
        <w:rPr>
          <w:bCs/>
          <w:lang w:val="sr-Latn-CS"/>
        </w:rPr>
        <w:lastRenderedPageBreak/>
        <w:t xml:space="preserve">najranijoj fazi nekog istraživanja, kada je potrebno selektovati faktore koji najviše utiču na sistem, a čiji nivoi mogu biti optimizovani u kasnijim fazama rada </w:t>
      </w:r>
      <w:r>
        <w:rPr>
          <w:bCs/>
        </w:rPr>
        <w:t>[</w:t>
      </w:r>
      <w:r>
        <w:rPr>
          <w:rStyle w:val="EndnoteReference"/>
          <w:bCs/>
        </w:rPr>
        <w:endnoteReference w:id="13"/>
      </w:r>
      <w:r>
        <w:rPr>
          <w:bCs/>
        </w:rPr>
        <w:t>]</w:t>
      </w:r>
      <w:r>
        <w:rPr>
          <w:bCs/>
          <w:lang w:val="sr-Latn-CS"/>
        </w:rPr>
        <w:t xml:space="preserve">. </w:t>
      </w:r>
      <w:r>
        <w:rPr>
          <w:color w:val="000000"/>
          <w:lang w:val="sr-Latn-CS"/>
        </w:rPr>
        <w:t>Zbog toga je pogodan za početnu fazu evaluacije nekog sistema, kada želimo da saznamo malo o velikom broju faktora, odnosno da odredimo najuticajnije faktore [</w:t>
      </w:r>
      <w:r>
        <w:rPr>
          <w:rStyle w:val="EndnoteReference"/>
          <w:color w:val="000000"/>
          <w:lang w:val="sr-Latn-CS"/>
        </w:rPr>
        <w:endnoteReference w:id="14"/>
      </w:r>
      <w:r>
        <w:rPr>
          <w:color w:val="000000"/>
          <w:lang w:val="sr-Latn-CS"/>
        </w:rPr>
        <w:t>,</w:t>
      </w:r>
      <w:r>
        <w:rPr>
          <w:rStyle w:val="EndnoteReference"/>
          <w:color w:val="000000"/>
          <w:lang w:val="sr-Latn-CS"/>
        </w:rPr>
        <w:endnoteReference w:id="15"/>
      </w:r>
      <w:r>
        <w:rPr>
          <w:color w:val="000000"/>
          <w:lang w:val="sr-Latn-CS"/>
        </w:rPr>
        <w:t xml:space="preserve">]. Za svaki faktor definišu se dva nivoa (niski i visoki), a region od interesa treba da je što širi. U kasnijim fazama, kada se selektuju važni faktori, regioni od interesa se sužavaju i na kraju definišu optimumi. Frakcionisani faktorijski dizajn predstavlja deo potpunog faktorijskog dizajna, u kome se ukupan broj eksperimenata smanjuje za faktor </w:t>
      </w:r>
      <w:r>
        <w:rPr>
          <w:i/>
          <w:color w:val="000000"/>
          <w:lang w:val="sr-Latn-CS"/>
        </w:rPr>
        <w:t>p</w:t>
      </w:r>
      <w:r>
        <w:rPr>
          <w:color w:val="000000"/>
          <w:lang w:val="sr-Latn-CS"/>
        </w:rPr>
        <w:t xml:space="preserve"> prema 2</w:t>
      </w:r>
      <w:r>
        <w:rPr>
          <w:color w:val="000000"/>
          <w:vertAlign w:val="superscript"/>
          <w:lang w:val="sr-Latn-CS"/>
        </w:rPr>
        <w:t>n</w:t>
      </w:r>
      <w:r>
        <w:rPr>
          <w:i/>
          <w:color w:val="000000"/>
          <w:vertAlign w:val="superscript"/>
          <w:lang w:val="sr-Latn-CS"/>
        </w:rPr>
        <w:t>-p</w:t>
      </w:r>
      <w:r>
        <w:rPr>
          <w:color w:val="000000"/>
          <w:lang w:val="sr-Latn-CS"/>
        </w:rPr>
        <w:t xml:space="preserve"> dizajnu [</w:t>
      </w:r>
      <w:r>
        <w:rPr>
          <w:rStyle w:val="EndnoteReference"/>
          <w:color w:val="000000"/>
          <w:lang w:val="sr-Latn-CS"/>
        </w:rPr>
        <w:endnoteReference w:id="16"/>
      </w:r>
      <w:r>
        <w:rPr>
          <w:color w:val="000000"/>
          <w:lang w:val="sr-Latn-CS"/>
        </w:rPr>
        <w:t>].</w:t>
      </w:r>
    </w:p>
    <w:p w:rsidR="00B24895" w:rsidRDefault="00B24895" w:rsidP="00B24895">
      <w:pPr>
        <w:autoSpaceDE w:val="0"/>
        <w:autoSpaceDN w:val="0"/>
        <w:adjustRightInd w:val="0"/>
        <w:rPr>
          <w:color w:val="000000"/>
          <w:lang w:val="sr-Latn-CS"/>
        </w:rPr>
      </w:pPr>
    </w:p>
    <w:p w:rsidR="00B24895" w:rsidRDefault="00B24895" w:rsidP="00B24895">
      <w:pPr>
        <w:autoSpaceDE w:val="0"/>
        <w:autoSpaceDN w:val="0"/>
        <w:adjustRightInd w:val="0"/>
        <w:rPr>
          <w:color w:val="000000"/>
          <w:lang w:val="sr-Latn-CS"/>
        </w:rPr>
      </w:pPr>
      <w:r>
        <w:rPr>
          <w:color w:val="000000"/>
          <w:lang w:val="sr-Latn-CS"/>
        </w:rPr>
        <w:t>U praksi se, korišćenjem statističkih softvera (na primer MINITAB) dobijaju matrice sa rasporedom nivoa faktora. Eksperimenti se zatim izvode nasumičnim redosledom kako bi se smanjila verovatnoća da nekontrolisani faktori utiču na rezultat. Glavni efekat predstavlja meru prosečne promene izlaznog signala pri promeni vrednosti faktora između dve krajnje vrednosti.</w:t>
      </w:r>
    </w:p>
    <w:p w:rsidR="00B24895" w:rsidRDefault="00B24895" w:rsidP="00B24895">
      <w:pPr>
        <w:autoSpaceDE w:val="0"/>
        <w:autoSpaceDN w:val="0"/>
        <w:adjustRightInd w:val="0"/>
        <w:rPr>
          <w:color w:val="000000"/>
          <w:lang w:val="sr-Latn-CS"/>
        </w:rPr>
      </w:pPr>
    </w:p>
    <w:p w:rsidR="00B24895" w:rsidRDefault="00B24895" w:rsidP="00B24895">
      <w:pPr>
        <w:autoSpaceDE w:val="0"/>
        <w:autoSpaceDN w:val="0"/>
        <w:adjustRightInd w:val="0"/>
        <w:rPr>
          <w:color w:val="000000"/>
          <w:lang w:val="sr-Latn-CS"/>
        </w:rPr>
      </w:pPr>
      <w:r w:rsidRPr="00865482">
        <w:rPr>
          <w:b/>
          <w:color w:val="000000"/>
          <w:lang w:val="sr-Latn-CS"/>
        </w:rPr>
        <w:t>Nakon primene frakcionisanog faktorijskog dizajna i određivanja najznačajnijih faktora, pristupa se optimizaciji proces</w:t>
      </w:r>
      <w:r w:rsidR="00865482">
        <w:rPr>
          <w:color w:val="000000"/>
          <w:lang w:val="sr-Latn-CS"/>
        </w:rPr>
        <w:t>a</w:t>
      </w:r>
      <w:r>
        <w:rPr>
          <w:color w:val="000000"/>
          <w:lang w:val="sr-Latn-CS"/>
        </w:rPr>
        <w:t>. Za definisanje optimuma uglavnom se koristi metodologija odgovora površina (</w:t>
      </w:r>
      <w:r>
        <w:rPr>
          <w:i/>
          <w:color w:val="000000"/>
          <w:lang w:val="sr-Latn-CS"/>
        </w:rPr>
        <w:t>engl</w:t>
      </w:r>
      <w:r>
        <w:rPr>
          <w:color w:val="000000"/>
          <w:lang w:val="sr-Latn-CS"/>
        </w:rPr>
        <w:t xml:space="preserve">.-response surface methodology, RSM). Metodologija odgovora povšine je multivarijantna tehnika koja matematički povezuje ispitivani eksperimentalni domen sa teorijskim dizajnom kroz funkciju odgovora. </w:t>
      </w:r>
      <w:r w:rsidRPr="00865482">
        <w:rPr>
          <w:b/>
          <w:color w:val="000000"/>
          <w:lang w:val="sr-Latn-CS"/>
        </w:rPr>
        <w:t>Za modelovanje odgovara površina najčešće se koriste dva pristupa, centralni kompozitni dizajn (</w:t>
      </w:r>
      <w:r w:rsidRPr="00865482">
        <w:rPr>
          <w:b/>
          <w:i/>
          <w:color w:val="000000"/>
          <w:lang w:val="sr-Latn-CS"/>
        </w:rPr>
        <w:t>engl</w:t>
      </w:r>
      <w:r w:rsidRPr="00865482">
        <w:rPr>
          <w:b/>
          <w:color w:val="000000"/>
          <w:lang w:val="sr-Latn-CS"/>
        </w:rPr>
        <w:t>.-central composite design, CCD) ili Box-Behnken dizajn.</w:t>
      </w:r>
      <w:r>
        <w:rPr>
          <w:color w:val="000000"/>
          <w:lang w:val="sr-Latn-CS"/>
        </w:rPr>
        <w:t xml:space="preserve"> Ispitivani parametri koji se optimizuju imaju tri ili pet nivoa, ali se sve moguće kombinacije ne pojavljuju u matrici sa rasporedom nivoa faktora [</w:t>
      </w:r>
      <w:r>
        <w:rPr>
          <w:rStyle w:val="EndnoteReference"/>
          <w:color w:val="000000"/>
          <w:lang w:val="sr-Latn-CS"/>
        </w:rPr>
        <w:endnoteReference w:id="17"/>
      </w:r>
      <w:r>
        <w:rPr>
          <w:color w:val="000000"/>
          <w:lang w:val="sr-Latn-CS"/>
        </w:rPr>
        <w:t xml:space="preserve">]. </w:t>
      </w:r>
    </w:p>
    <w:p w:rsidR="00B24895" w:rsidRDefault="00B24895" w:rsidP="00B24895">
      <w:pPr>
        <w:autoSpaceDE w:val="0"/>
        <w:autoSpaceDN w:val="0"/>
        <w:adjustRightInd w:val="0"/>
        <w:rPr>
          <w:color w:val="000000"/>
          <w:lang w:val="sr-Latn-CS"/>
        </w:rPr>
      </w:pPr>
    </w:p>
    <w:p w:rsidR="00B24895" w:rsidRDefault="00B24895" w:rsidP="00B24895">
      <w:pPr>
        <w:autoSpaceDE w:val="0"/>
        <w:autoSpaceDN w:val="0"/>
        <w:adjustRightInd w:val="0"/>
        <w:rPr>
          <w:color w:val="000000"/>
          <w:lang w:val="sr-Latn-CS"/>
        </w:rPr>
      </w:pPr>
      <w:r w:rsidRPr="00865482">
        <w:rPr>
          <w:b/>
          <w:color w:val="000000"/>
          <w:lang w:val="sr-Latn-CS"/>
        </w:rPr>
        <w:t>Centralni kompozitni dizajn</w:t>
      </w:r>
      <w:r>
        <w:rPr>
          <w:color w:val="000000"/>
          <w:lang w:val="sr-Latn-CS"/>
        </w:rPr>
        <w:t xml:space="preserve">, sadrži ugrađeni faktorijski ili frakcionisani faktorijski dizajn sa centralnim tačkama koje se uvećavaju grupom aksijalnih tačaka, koje omogućavaju da se uradi procena zakrivljenja na površinskom dijagramu. Centralni kompozitni dizajn, kao što je prikazano na slici 5.5a, sadrži dva puta više aksijanih tačaka u odnosu na broj ispitivanih parametara. To znači da aksijalne tačke predstavljaju nove nivoe (niski i visoki) za svaki ispitivani parametar. </w:t>
      </w:r>
      <w:r w:rsidRPr="00865482">
        <w:rPr>
          <w:b/>
          <w:color w:val="000000"/>
          <w:lang w:val="sr-Latn-CS"/>
        </w:rPr>
        <w:t>Box-Behnken dizajn</w:t>
      </w:r>
      <w:r>
        <w:rPr>
          <w:color w:val="000000"/>
          <w:lang w:val="sr-Latn-CS"/>
        </w:rPr>
        <w:t xml:space="preserve"> predstavlja alternativu centralnom kompozitnom dizajnu. Kod Box-Behnken-ovog dizajna prikazanog na slici 5.5b, svaki ispitivani faktor ima tri nivoa, tako da kombinacijom frakcionisanog faktorijskog i nepotpunog blokovskog dizajna, </w:t>
      </w:r>
      <w:r>
        <w:rPr>
          <w:color w:val="000000"/>
          <w:lang w:val="sr-Latn-CS"/>
        </w:rPr>
        <w:lastRenderedPageBreak/>
        <w:t>ispitivanje se vrši izbegavajući ispitivanje površine u ekstremnim vrednostima (u uglovima prostora) [</w:t>
      </w:r>
      <w:r>
        <w:rPr>
          <w:rStyle w:val="EndnoteReference"/>
          <w:color w:val="000000"/>
          <w:lang w:val="sr-Latn-CS"/>
        </w:rPr>
        <w:endnoteReference w:id="18"/>
      </w:r>
      <w:r>
        <w:rPr>
          <w:color w:val="000000"/>
          <w:lang w:val="sr-Latn-CS"/>
        </w:rPr>
        <w:t>].</w:t>
      </w:r>
    </w:p>
    <w:tbl>
      <w:tblPr>
        <w:tblW w:w="0" w:type="auto"/>
        <w:tblLook w:val="04A0"/>
      </w:tblPr>
      <w:tblGrid>
        <w:gridCol w:w="5796"/>
        <w:gridCol w:w="3446"/>
      </w:tblGrid>
      <w:tr w:rsidR="00B24895" w:rsidTr="003619FD">
        <w:tc>
          <w:tcPr>
            <w:tcW w:w="5558" w:type="dxa"/>
          </w:tcPr>
          <w:p w:rsidR="00B24895" w:rsidRDefault="00B24895" w:rsidP="003619FD">
            <w:pPr>
              <w:autoSpaceDE w:val="0"/>
              <w:autoSpaceDN w:val="0"/>
              <w:adjustRightInd w:val="0"/>
              <w:rPr>
                <w:color w:val="000000"/>
                <w:lang w:val="sr-Latn-CS"/>
              </w:rPr>
            </w:pPr>
            <w:r>
              <w:rPr>
                <w:noProof/>
                <w:color w:val="000000"/>
              </w:rPr>
              <w:drawing>
                <wp:inline distT="0" distB="0" distL="0" distR="0">
                  <wp:extent cx="3520440" cy="1615440"/>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520440" cy="1615440"/>
                          </a:xfrm>
                          <a:prstGeom prst="rect">
                            <a:avLst/>
                          </a:prstGeom>
                          <a:noFill/>
                          <a:ln w="9525">
                            <a:noFill/>
                            <a:miter lim="800000"/>
                            <a:headEnd/>
                            <a:tailEnd/>
                          </a:ln>
                        </pic:spPr>
                      </pic:pic>
                    </a:graphicData>
                  </a:graphic>
                </wp:inline>
              </w:drawing>
            </w:r>
          </w:p>
        </w:tc>
        <w:tc>
          <w:tcPr>
            <w:tcW w:w="3446" w:type="dxa"/>
          </w:tcPr>
          <w:p w:rsidR="00B24895" w:rsidRDefault="00B24895" w:rsidP="003619FD">
            <w:pPr>
              <w:autoSpaceDE w:val="0"/>
              <w:autoSpaceDN w:val="0"/>
              <w:adjustRightInd w:val="0"/>
              <w:rPr>
                <w:color w:val="000000"/>
                <w:lang w:val="sr-Latn-CS"/>
              </w:rPr>
            </w:pPr>
            <w:r>
              <w:rPr>
                <w:noProof/>
                <w:color w:val="000000"/>
              </w:rPr>
              <w:drawing>
                <wp:inline distT="0" distB="0" distL="0" distR="0">
                  <wp:extent cx="1805940" cy="1592580"/>
                  <wp:effectExtent l="1905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805940" cy="1592580"/>
                          </a:xfrm>
                          <a:prstGeom prst="rect">
                            <a:avLst/>
                          </a:prstGeom>
                          <a:noFill/>
                          <a:ln w="9525">
                            <a:noFill/>
                            <a:miter lim="800000"/>
                            <a:headEnd/>
                            <a:tailEnd/>
                          </a:ln>
                        </pic:spPr>
                      </pic:pic>
                    </a:graphicData>
                  </a:graphic>
                </wp:inline>
              </w:drawing>
            </w:r>
          </w:p>
        </w:tc>
      </w:tr>
      <w:tr w:rsidR="00B24895" w:rsidTr="003619FD">
        <w:tc>
          <w:tcPr>
            <w:tcW w:w="5558" w:type="dxa"/>
          </w:tcPr>
          <w:p w:rsidR="00B24895" w:rsidRDefault="00B24895" w:rsidP="003619FD">
            <w:pPr>
              <w:autoSpaceDE w:val="0"/>
              <w:autoSpaceDN w:val="0"/>
              <w:adjustRightInd w:val="0"/>
              <w:jc w:val="center"/>
              <w:rPr>
                <w:color w:val="000000"/>
                <w:lang w:val="sr-Latn-CS"/>
              </w:rPr>
            </w:pPr>
            <w:r>
              <w:rPr>
                <w:color w:val="000000"/>
                <w:lang w:val="sr-Latn-CS"/>
              </w:rPr>
              <w:t>a)</w:t>
            </w:r>
          </w:p>
        </w:tc>
        <w:tc>
          <w:tcPr>
            <w:tcW w:w="3446" w:type="dxa"/>
          </w:tcPr>
          <w:p w:rsidR="00B24895" w:rsidRDefault="00B24895" w:rsidP="003619FD">
            <w:pPr>
              <w:autoSpaceDE w:val="0"/>
              <w:autoSpaceDN w:val="0"/>
              <w:adjustRightInd w:val="0"/>
              <w:jc w:val="center"/>
              <w:rPr>
                <w:color w:val="000000"/>
                <w:lang w:val="sr-Latn-CS"/>
              </w:rPr>
            </w:pPr>
            <w:r>
              <w:rPr>
                <w:color w:val="000000"/>
                <w:lang w:val="sr-Latn-CS"/>
              </w:rPr>
              <w:t>b)</w:t>
            </w:r>
          </w:p>
        </w:tc>
      </w:tr>
      <w:tr w:rsidR="00B24895" w:rsidTr="003619FD">
        <w:tc>
          <w:tcPr>
            <w:tcW w:w="9004" w:type="dxa"/>
            <w:gridSpan w:val="2"/>
          </w:tcPr>
          <w:p w:rsidR="00B24895" w:rsidRDefault="00B24895" w:rsidP="003619FD">
            <w:pPr>
              <w:autoSpaceDE w:val="0"/>
              <w:autoSpaceDN w:val="0"/>
              <w:adjustRightInd w:val="0"/>
              <w:jc w:val="center"/>
              <w:rPr>
                <w:color w:val="000000"/>
                <w:lang w:val="sr-Latn-CS"/>
              </w:rPr>
            </w:pPr>
            <w:r>
              <w:rPr>
                <w:color w:val="000000"/>
                <w:lang w:val="sr-Latn-CS"/>
              </w:rPr>
              <w:t>Slika 5.5 Prikaz tačaka koje odgovaraju eksperimentima koji se izvode primenom:</w:t>
            </w:r>
          </w:p>
          <w:p w:rsidR="00B24895" w:rsidRDefault="00B24895" w:rsidP="003619FD">
            <w:pPr>
              <w:autoSpaceDE w:val="0"/>
              <w:autoSpaceDN w:val="0"/>
              <w:adjustRightInd w:val="0"/>
              <w:jc w:val="center"/>
              <w:rPr>
                <w:color w:val="000000"/>
                <w:lang w:val="sr-Latn-CS"/>
              </w:rPr>
            </w:pPr>
            <w:r>
              <w:rPr>
                <w:color w:val="000000"/>
                <w:lang w:val="sr-Latn-CS"/>
              </w:rPr>
              <w:t>a) centralnog kompozitnog dizajna [</w:t>
            </w:r>
            <w:r>
              <w:rPr>
                <w:rStyle w:val="EndnoteReference"/>
                <w:color w:val="000000"/>
                <w:lang w:val="sr-Latn-CS"/>
              </w:rPr>
              <w:endnoteReference w:id="19"/>
            </w:r>
            <w:r>
              <w:rPr>
                <w:color w:val="000000"/>
                <w:lang w:val="sr-Latn-CS"/>
              </w:rPr>
              <w:t>]; b) Box- Behnken-ovog dizajna [</w:t>
            </w:r>
            <w:r>
              <w:rPr>
                <w:rStyle w:val="EndnoteReference"/>
                <w:color w:val="000000"/>
                <w:lang w:val="sr-Latn-CS"/>
              </w:rPr>
              <w:endnoteReference w:id="20"/>
            </w:r>
            <w:r>
              <w:rPr>
                <w:color w:val="000000"/>
                <w:lang w:val="sr-Latn-CS"/>
              </w:rPr>
              <w:t>]</w:t>
            </w:r>
          </w:p>
        </w:tc>
      </w:tr>
    </w:tbl>
    <w:p w:rsidR="00B24895" w:rsidRDefault="00B24895" w:rsidP="00B24895">
      <w:pPr>
        <w:rPr>
          <w:lang w:val="sr-Latn-CS"/>
        </w:rPr>
      </w:pPr>
    </w:p>
    <w:p w:rsidR="00B24895" w:rsidRDefault="00B24895" w:rsidP="00B24895">
      <w:pPr>
        <w:pStyle w:val="ListParagraph"/>
        <w:ind w:left="0"/>
        <w:rPr>
          <w:b/>
          <w:lang w:val="sr-Latn-CS"/>
        </w:rPr>
      </w:pPr>
      <w:r>
        <w:rPr>
          <w:b/>
          <w:lang w:val="sr-Latn-CS"/>
        </w:rPr>
        <w:t>5.5.1 Eksperimentalni dizajn sagorevanja uglja u kiseoničnoj bombi</w:t>
      </w:r>
    </w:p>
    <w:p w:rsidR="00865482" w:rsidRDefault="00865482" w:rsidP="00B24895">
      <w:pPr>
        <w:rPr>
          <w:lang w:val="sr-Latn-CS"/>
        </w:rPr>
      </w:pPr>
    </w:p>
    <w:p w:rsidR="00B24895" w:rsidRDefault="00B24895" w:rsidP="00B24895">
      <w:pPr>
        <w:rPr>
          <w:lang w:val="sr-Latn-CS"/>
        </w:rPr>
      </w:pPr>
      <w:r>
        <w:rPr>
          <w:lang w:val="sr-Latn-CS"/>
        </w:rPr>
        <w:t xml:space="preserve">Sagorevanjem uglja, organska jedinjenja se razlažu dajući uglavnom ugljenik(IV)-oksid i vodu, a azot i sumpor se izdvajaju u obliku odgovarajućih oksida. Halogeni elementi pri sagorevanju uglja isparavaju u obliku odgovarajućih halogenovodonika. </w:t>
      </w:r>
    </w:p>
    <w:p w:rsidR="00B24895" w:rsidRDefault="00B24895" w:rsidP="00B24895">
      <w:pPr>
        <w:rPr>
          <w:lang w:val="sr-Latn-CS"/>
        </w:rPr>
      </w:pPr>
    </w:p>
    <w:p w:rsidR="00B24895" w:rsidRDefault="00B24895" w:rsidP="00B24895">
      <w:pPr>
        <w:rPr>
          <w:lang w:val="sr-Latn-CS"/>
        </w:rPr>
      </w:pPr>
      <w:r>
        <w:rPr>
          <w:lang w:val="sr-Latn-CS"/>
        </w:rPr>
        <w:t>Korišćenjem frakcionisanog faktorijskog dizajna, ispitivan je uticaj šest parametara (faktora) na sagorevanje uglja u kiseoničnoj bombi i izdvajanje fluora, hlora i broma u obliku halogenovodonika. Za svaki parametar izabrana su dva nivoa: minimalni (-1) i maksimalni (+1). U Tabeli 5.2, sistematizovani su parametri i njihovi nivoi.</w:t>
      </w:r>
    </w:p>
    <w:p w:rsidR="00B24895" w:rsidRDefault="00B24895" w:rsidP="00B24895">
      <w:pPr>
        <w:rPr>
          <w:lang w:val="sr-Latn-CS"/>
        </w:rPr>
      </w:pPr>
    </w:p>
    <w:p w:rsidR="00B24895" w:rsidRDefault="00B24895" w:rsidP="00B24895">
      <w:pPr>
        <w:rPr>
          <w:color w:val="000000"/>
          <w:lang w:val="sr-Latn-CS"/>
        </w:rPr>
      </w:pPr>
      <w:r>
        <w:rPr>
          <w:color w:val="000000"/>
          <w:lang w:val="sr-Latn-CS"/>
        </w:rPr>
        <w:t>Tabela 5.2 Eksperimentalni faktori i njihovi nivoi</w:t>
      </w:r>
    </w:p>
    <w:tbl>
      <w:tblPr>
        <w:tblW w:w="0" w:type="auto"/>
        <w:jc w:val="center"/>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ook w:val="00A0"/>
      </w:tblPr>
      <w:tblGrid>
        <w:gridCol w:w="543"/>
        <w:gridCol w:w="4101"/>
        <w:gridCol w:w="1985"/>
        <w:gridCol w:w="2092"/>
      </w:tblGrid>
      <w:tr w:rsidR="00B24895" w:rsidTr="003619FD">
        <w:trPr>
          <w:jc w:val="center"/>
        </w:trPr>
        <w:tc>
          <w:tcPr>
            <w:tcW w:w="0" w:type="auto"/>
            <w:tcBorders>
              <w:top w:val="double" w:sz="4" w:space="0" w:color="auto"/>
              <w:bottom w:val="double" w:sz="4" w:space="0" w:color="auto"/>
            </w:tcBorders>
            <w:shd w:val="pct5" w:color="auto" w:fill="auto"/>
            <w:vAlign w:val="center"/>
          </w:tcPr>
          <w:p w:rsidR="00B24895" w:rsidRDefault="00B24895" w:rsidP="003619FD">
            <w:pPr>
              <w:jc w:val="center"/>
              <w:rPr>
                <w:b/>
                <w:lang w:val="sr-Latn-CS"/>
              </w:rPr>
            </w:pPr>
            <w:r>
              <w:rPr>
                <w:b/>
                <w:lang w:val="sr-Latn-CS"/>
              </w:rPr>
              <w:t>Br.</w:t>
            </w:r>
          </w:p>
        </w:tc>
        <w:tc>
          <w:tcPr>
            <w:tcW w:w="4101" w:type="dxa"/>
            <w:tcBorders>
              <w:top w:val="double" w:sz="4" w:space="0" w:color="auto"/>
              <w:bottom w:val="double" w:sz="4" w:space="0" w:color="auto"/>
            </w:tcBorders>
            <w:shd w:val="pct5" w:color="auto" w:fill="auto"/>
            <w:vAlign w:val="center"/>
          </w:tcPr>
          <w:p w:rsidR="00B24895" w:rsidRDefault="00B24895" w:rsidP="003619FD">
            <w:pPr>
              <w:jc w:val="center"/>
              <w:rPr>
                <w:b/>
                <w:lang w:val="sr-Latn-CS"/>
              </w:rPr>
            </w:pPr>
            <w:r>
              <w:rPr>
                <w:b/>
                <w:lang w:val="sr-Latn-CS"/>
              </w:rPr>
              <w:t>Parametar</w:t>
            </w:r>
          </w:p>
        </w:tc>
        <w:tc>
          <w:tcPr>
            <w:tcW w:w="1985" w:type="dxa"/>
            <w:tcBorders>
              <w:top w:val="double" w:sz="4" w:space="0" w:color="auto"/>
              <w:bottom w:val="double" w:sz="4" w:space="0" w:color="auto"/>
            </w:tcBorders>
            <w:shd w:val="pct5" w:color="auto" w:fill="auto"/>
            <w:vAlign w:val="center"/>
          </w:tcPr>
          <w:p w:rsidR="00B24895" w:rsidRDefault="00B24895" w:rsidP="003619FD">
            <w:pPr>
              <w:jc w:val="center"/>
              <w:rPr>
                <w:b/>
                <w:lang w:val="sr-Latn-CS"/>
              </w:rPr>
            </w:pPr>
            <w:r>
              <w:rPr>
                <w:b/>
                <w:lang w:val="sr-Latn-CS"/>
              </w:rPr>
              <w:t>Nivo 1</w:t>
            </w:r>
          </w:p>
          <w:p w:rsidR="00B24895" w:rsidRDefault="00B24895" w:rsidP="003619FD">
            <w:pPr>
              <w:jc w:val="center"/>
              <w:rPr>
                <w:b/>
                <w:lang w:val="sr-Latn-CS"/>
              </w:rPr>
            </w:pPr>
            <w:r>
              <w:rPr>
                <w:b/>
                <w:lang w:val="sr-Latn-CS"/>
              </w:rPr>
              <w:t>kodirana vrednost (-1)</w:t>
            </w:r>
          </w:p>
        </w:tc>
        <w:tc>
          <w:tcPr>
            <w:tcW w:w="2092" w:type="dxa"/>
            <w:tcBorders>
              <w:top w:val="double" w:sz="4" w:space="0" w:color="auto"/>
              <w:bottom w:val="double" w:sz="4" w:space="0" w:color="auto"/>
            </w:tcBorders>
            <w:shd w:val="pct5" w:color="auto" w:fill="auto"/>
            <w:vAlign w:val="center"/>
          </w:tcPr>
          <w:p w:rsidR="00B24895" w:rsidRDefault="00B24895" w:rsidP="003619FD">
            <w:pPr>
              <w:jc w:val="center"/>
              <w:rPr>
                <w:b/>
                <w:lang w:val="sr-Latn-CS"/>
              </w:rPr>
            </w:pPr>
            <w:r>
              <w:rPr>
                <w:b/>
                <w:lang w:val="sr-Latn-CS"/>
              </w:rPr>
              <w:t>Nivo 2</w:t>
            </w:r>
          </w:p>
          <w:p w:rsidR="00B24895" w:rsidRDefault="00B24895" w:rsidP="003619FD">
            <w:pPr>
              <w:jc w:val="center"/>
              <w:rPr>
                <w:b/>
                <w:lang w:val="sr-Latn-CS"/>
              </w:rPr>
            </w:pPr>
            <w:r>
              <w:rPr>
                <w:b/>
                <w:lang w:val="sr-Latn-CS"/>
              </w:rPr>
              <w:t>kodirana vrednost (1)</w:t>
            </w:r>
          </w:p>
        </w:tc>
      </w:tr>
      <w:tr w:rsidR="00B24895" w:rsidTr="003619FD">
        <w:trPr>
          <w:jc w:val="center"/>
        </w:trPr>
        <w:tc>
          <w:tcPr>
            <w:tcW w:w="0" w:type="auto"/>
            <w:tcBorders>
              <w:top w:val="double" w:sz="4" w:space="0" w:color="auto"/>
            </w:tcBorders>
            <w:shd w:val="clear" w:color="auto" w:fill="auto"/>
          </w:tcPr>
          <w:p w:rsidR="00B24895" w:rsidRDefault="00B24895" w:rsidP="003619FD">
            <w:pPr>
              <w:jc w:val="center"/>
              <w:rPr>
                <w:lang w:val="sr-Latn-CS"/>
              </w:rPr>
            </w:pPr>
            <w:r>
              <w:rPr>
                <w:lang w:val="sr-Latn-CS"/>
              </w:rPr>
              <w:t>1</w:t>
            </w:r>
          </w:p>
        </w:tc>
        <w:tc>
          <w:tcPr>
            <w:tcW w:w="4101" w:type="dxa"/>
            <w:tcBorders>
              <w:top w:val="double" w:sz="4" w:space="0" w:color="auto"/>
            </w:tcBorders>
            <w:shd w:val="clear" w:color="auto" w:fill="auto"/>
          </w:tcPr>
          <w:p w:rsidR="00B24895" w:rsidRDefault="00B24895" w:rsidP="003619FD">
            <w:pPr>
              <w:rPr>
                <w:lang w:val="sr-Latn-CS"/>
              </w:rPr>
            </w:pPr>
            <w:r>
              <w:rPr>
                <w:lang w:val="sr-Latn-CS"/>
              </w:rPr>
              <w:t>Pritisak kiseonika,  MPa</w:t>
            </w:r>
          </w:p>
        </w:tc>
        <w:tc>
          <w:tcPr>
            <w:tcW w:w="1985" w:type="dxa"/>
            <w:tcBorders>
              <w:top w:val="double" w:sz="4" w:space="0" w:color="auto"/>
            </w:tcBorders>
            <w:shd w:val="clear" w:color="auto" w:fill="auto"/>
          </w:tcPr>
          <w:p w:rsidR="00B24895" w:rsidRDefault="00B24895" w:rsidP="003619FD">
            <w:pPr>
              <w:jc w:val="center"/>
              <w:rPr>
                <w:lang w:val="sr-Latn-CS"/>
              </w:rPr>
            </w:pPr>
            <w:r>
              <w:rPr>
                <w:lang w:val="sr-Latn-CS"/>
              </w:rPr>
              <w:t>1,5</w:t>
            </w:r>
          </w:p>
        </w:tc>
        <w:tc>
          <w:tcPr>
            <w:tcW w:w="2092" w:type="dxa"/>
            <w:tcBorders>
              <w:top w:val="double" w:sz="4" w:space="0" w:color="auto"/>
            </w:tcBorders>
            <w:shd w:val="clear" w:color="auto" w:fill="auto"/>
          </w:tcPr>
          <w:p w:rsidR="00B24895" w:rsidRDefault="00B24895" w:rsidP="003619FD">
            <w:pPr>
              <w:jc w:val="center"/>
              <w:rPr>
                <w:lang w:val="sr-Latn-CS"/>
              </w:rPr>
            </w:pPr>
            <w:r>
              <w:rPr>
                <w:lang w:val="sr-Latn-CS"/>
              </w:rPr>
              <w:t>2,5</w:t>
            </w:r>
          </w:p>
        </w:tc>
      </w:tr>
      <w:tr w:rsidR="00B24895" w:rsidTr="003619FD">
        <w:trPr>
          <w:jc w:val="center"/>
        </w:trPr>
        <w:tc>
          <w:tcPr>
            <w:tcW w:w="0" w:type="auto"/>
            <w:shd w:val="clear" w:color="auto" w:fill="auto"/>
          </w:tcPr>
          <w:p w:rsidR="00B24895" w:rsidRDefault="00B24895" w:rsidP="003619FD">
            <w:pPr>
              <w:jc w:val="center"/>
              <w:rPr>
                <w:lang w:val="sr-Latn-CS"/>
              </w:rPr>
            </w:pPr>
            <w:r>
              <w:rPr>
                <w:lang w:val="sr-Latn-CS"/>
              </w:rPr>
              <w:t>2</w:t>
            </w:r>
          </w:p>
        </w:tc>
        <w:tc>
          <w:tcPr>
            <w:tcW w:w="4101" w:type="dxa"/>
            <w:shd w:val="clear" w:color="auto" w:fill="auto"/>
          </w:tcPr>
          <w:p w:rsidR="00B24895" w:rsidRDefault="00B24895" w:rsidP="003619FD">
            <w:pPr>
              <w:rPr>
                <w:lang w:val="sr-Latn-CS"/>
              </w:rPr>
            </w:pPr>
            <w:r>
              <w:rPr>
                <w:i/>
                <w:lang w:val="sr-Latn-CS"/>
              </w:rPr>
              <w:t>m</w:t>
            </w:r>
            <w:r>
              <w:rPr>
                <w:lang w:val="sr-Latn-CS"/>
              </w:rPr>
              <w:t>(V</w:t>
            </w:r>
            <w:r>
              <w:rPr>
                <w:vertAlign w:val="subscript"/>
                <w:lang w:val="sr-Latn-CS"/>
              </w:rPr>
              <w:t>2</w:t>
            </w:r>
            <w:r>
              <w:rPr>
                <w:lang w:val="sr-Latn-CS"/>
              </w:rPr>
              <w:t>O</w:t>
            </w:r>
            <w:r>
              <w:rPr>
                <w:vertAlign w:val="subscript"/>
                <w:lang w:val="sr-Latn-CS"/>
              </w:rPr>
              <w:t>5</w:t>
            </w:r>
            <w:r>
              <w:rPr>
                <w:lang w:val="sr-Latn-CS"/>
              </w:rPr>
              <w:t>)/</w:t>
            </w:r>
            <w:r>
              <w:rPr>
                <w:i/>
                <w:lang w:val="sr-Latn-CS"/>
              </w:rPr>
              <w:t>m</w:t>
            </w:r>
            <w:r>
              <w:rPr>
                <w:lang w:val="sr-Latn-CS"/>
              </w:rPr>
              <w:t>(uglja)</w:t>
            </w:r>
          </w:p>
        </w:tc>
        <w:tc>
          <w:tcPr>
            <w:tcW w:w="1985" w:type="dxa"/>
            <w:shd w:val="clear" w:color="auto" w:fill="auto"/>
          </w:tcPr>
          <w:p w:rsidR="00B24895" w:rsidRDefault="00B24895" w:rsidP="003619FD">
            <w:pPr>
              <w:jc w:val="center"/>
              <w:rPr>
                <w:lang w:val="sr-Latn-CS"/>
              </w:rPr>
            </w:pPr>
            <w:r>
              <w:rPr>
                <w:lang w:val="sr-Latn-CS"/>
              </w:rPr>
              <w:t>0</w:t>
            </w:r>
          </w:p>
        </w:tc>
        <w:tc>
          <w:tcPr>
            <w:tcW w:w="2092" w:type="dxa"/>
            <w:shd w:val="clear" w:color="auto" w:fill="auto"/>
          </w:tcPr>
          <w:p w:rsidR="00B24895" w:rsidRDefault="00B24895" w:rsidP="003619FD">
            <w:pPr>
              <w:jc w:val="center"/>
              <w:rPr>
                <w:lang w:val="sr-Latn-CS"/>
              </w:rPr>
            </w:pPr>
            <w:r>
              <w:rPr>
                <w:lang w:val="sr-Latn-CS"/>
              </w:rPr>
              <w:t>0,5</w:t>
            </w:r>
          </w:p>
        </w:tc>
      </w:tr>
      <w:tr w:rsidR="00B24895" w:rsidTr="003619FD">
        <w:trPr>
          <w:jc w:val="center"/>
        </w:trPr>
        <w:tc>
          <w:tcPr>
            <w:tcW w:w="0" w:type="auto"/>
            <w:shd w:val="clear" w:color="auto" w:fill="auto"/>
          </w:tcPr>
          <w:p w:rsidR="00B24895" w:rsidRDefault="00B24895" w:rsidP="003619FD">
            <w:pPr>
              <w:jc w:val="center"/>
              <w:rPr>
                <w:lang w:val="sr-Latn-CS"/>
              </w:rPr>
            </w:pPr>
            <w:r>
              <w:rPr>
                <w:lang w:val="sr-Latn-CS"/>
              </w:rPr>
              <w:t>3</w:t>
            </w:r>
          </w:p>
        </w:tc>
        <w:tc>
          <w:tcPr>
            <w:tcW w:w="4101" w:type="dxa"/>
            <w:shd w:val="clear" w:color="auto" w:fill="auto"/>
          </w:tcPr>
          <w:p w:rsidR="00B24895" w:rsidRDefault="00B24895" w:rsidP="003619FD">
            <w:pPr>
              <w:rPr>
                <w:lang w:val="sr-Latn-CS"/>
              </w:rPr>
            </w:pPr>
            <w:r>
              <w:rPr>
                <w:lang w:val="sr-Latn-CS"/>
              </w:rPr>
              <w:t>Apsorpcioni rastvor</w:t>
            </w:r>
          </w:p>
        </w:tc>
        <w:tc>
          <w:tcPr>
            <w:tcW w:w="1985" w:type="dxa"/>
            <w:shd w:val="clear" w:color="auto" w:fill="auto"/>
          </w:tcPr>
          <w:p w:rsidR="00B24895" w:rsidRDefault="00B24895" w:rsidP="003619FD">
            <w:pPr>
              <w:jc w:val="center"/>
              <w:rPr>
                <w:lang w:val="sr-Latn-CS"/>
              </w:rPr>
            </w:pPr>
            <w:r>
              <w:rPr>
                <w:lang w:val="sr-Latn-CS"/>
              </w:rPr>
              <w:t>H</w:t>
            </w:r>
            <w:r>
              <w:rPr>
                <w:vertAlign w:val="subscript"/>
                <w:lang w:val="sr-Latn-CS"/>
              </w:rPr>
              <w:t>2</w:t>
            </w:r>
            <w:r>
              <w:rPr>
                <w:lang w:val="sr-Latn-CS"/>
              </w:rPr>
              <w:t>O</w:t>
            </w:r>
          </w:p>
        </w:tc>
        <w:tc>
          <w:tcPr>
            <w:tcW w:w="2092" w:type="dxa"/>
            <w:shd w:val="clear" w:color="auto" w:fill="auto"/>
          </w:tcPr>
          <w:p w:rsidR="00B24895" w:rsidRDefault="00B24895" w:rsidP="003619FD">
            <w:pPr>
              <w:jc w:val="center"/>
              <w:rPr>
                <w:lang w:val="sr-Latn-CS"/>
              </w:rPr>
            </w:pPr>
            <w:r>
              <w:rPr>
                <w:lang w:val="sr-Latn-CS"/>
              </w:rPr>
              <w:t>NaOH, 1 mol/dm</w:t>
            </w:r>
            <w:r>
              <w:rPr>
                <w:vertAlign w:val="superscript"/>
                <w:lang w:val="sr-Latn-CS"/>
              </w:rPr>
              <w:t>3</w:t>
            </w:r>
          </w:p>
        </w:tc>
      </w:tr>
      <w:tr w:rsidR="00B24895" w:rsidTr="003619FD">
        <w:trPr>
          <w:jc w:val="center"/>
        </w:trPr>
        <w:tc>
          <w:tcPr>
            <w:tcW w:w="0" w:type="auto"/>
            <w:shd w:val="clear" w:color="auto" w:fill="auto"/>
          </w:tcPr>
          <w:p w:rsidR="00B24895" w:rsidRDefault="00B24895" w:rsidP="003619FD">
            <w:pPr>
              <w:jc w:val="center"/>
              <w:rPr>
                <w:lang w:val="sr-Latn-CS"/>
              </w:rPr>
            </w:pPr>
            <w:r>
              <w:rPr>
                <w:lang w:val="sr-Latn-CS"/>
              </w:rPr>
              <w:lastRenderedPageBreak/>
              <w:t>4</w:t>
            </w:r>
          </w:p>
        </w:tc>
        <w:tc>
          <w:tcPr>
            <w:tcW w:w="4101" w:type="dxa"/>
            <w:shd w:val="clear" w:color="auto" w:fill="auto"/>
          </w:tcPr>
          <w:p w:rsidR="00B24895" w:rsidRDefault="00B24895" w:rsidP="003619FD">
            <w:pPr>
              <w:rPr>
                <w:lang w:val="sr-Latn-CS"/>
              </w:rPr>
            </w:pPr>
            <w:r>
              <w:rPr>
                <w:lang w:val="sr-Latn-CS"/>
              </w:rPr>
              <w:t>H</w:t>
            </w:r>
            <w:r>
              <w:rPr>
                <w:vertAlign w:val="subscript"/>
                <w:lang w:val="sr-Latn-CS"/>
              </w:rPr>
              <w:t>2</w:t>
            </w:r>
            <w:r>
              <w:rPr>
                <w:lang w:val="sr-Latn-CS"/>
              </w:rPr>
              <w:t>O</w:t>
            </w:r>
            <w:r>
              <w:rPr>
                <w:vertAlign w:val="subscript"/>
                <w:lang w:val="sr-Latn-CS"/>
              </w:rPr>
              <w:t>2</w:t>
            </w:r>
            <w:r>
              <w:rPr>
                <w:lang w:val="sr-Latn-CS"/>
              </w:rPr>
              <w:t>, %</w:t>
            </w:r>
          </w:p>
        </w:tc>
        <w:tc>
          <w:tcPr>
            <w:tcW w:w="1985" w:type="dxa"/>
            <w:shd w:val="clear" w:color="auto" w:fill="auto"/>
          </w:tcPr>
          <w:p w:rsidR="00B24895" w:rsidRDefault="00B24895" w:rsidP="003619FD">
            <w:pPr>
              <w:jc w:val="center"/>
              <w:rPr>
                <w:lang w:val="sr-Latn-CS"/>
              </w:rPr>
            </w:pPr>
            <w:r>
              <w:rPr>
                <w:lang w:val="sr-Latn-CS"/>
              </w:rPr>
              <w:t>0</w:t>
            </w:r>
          </w:p>
        </w:tc>
        <w:tc>
          <w:tcPr>
            <w:tcW w:w="2092" w:type="dxa"/>
            <w:shd w:val="clear" w:color="auto" w:fill="auto"/>
          </w:tcPr>
          <w:p w:rsidR="00B24895" w:rsidRDefault="00B24895" w:rsidP="003619FD">
            <w:pPr>
              <w:jc w:val="center"/>
              <w:rPr>
                <w:lang w:val="sr-Latn-CS"/>
              </w:rPr>
            </w:pPr>
            <w:r>
              <w:rPr>
                <w:lang w:val="sr-Latn-CS"/>
              </w:rPr>
              <w:t>1,0</w:t>
            </w:r>
          </w:p>
        </w:tc>
      </w:tr>
      <w:tr w:rsidR="00B24895" w:rsidTr="003619FD">
        <w:trPr>
          <w:jc w:val="center"/>
        </w:trPr>
        <w:tc>
          <w:tcPr>
            <w:tcW w:w="0" w:type="auto"/>
            <w:shd w:val="clear" w:color="auto" w:fill="auto"/>
          </w:tcPr>
          <w:p w:rsidR="00B24895" w:rsidRDefault="005D3CD5" w:rsidP="003619FD">
            <w:pPr>
              <w:jc w:val="center"/>
              <w:rPr>
                <w:lang w:val="sr-Latn-CS"/>
              </w:rPr>
            </w:pPr>
            <w:r>
              <w:rPr>
                <w:lang w:val="sr-Latn-CS"/>
              </w:rPr>
              <w:t>5</w:t>
            </w:r>
          </w:p>
        </w:tc>
        <w:tc>
          <w:tcPr>
            <w:tcW w:w="4101" w:type="dxa"/>
            <w:shd w:val="clear" w:color="auto" w:fill="auto"/>
          </w:tcPr>
          <w:p w:rsidR="00B24895" w:rsidRDefault="00B24895" w:rsidP="003619FD">
            <w:pPr>
              <w:rPr>
                <w:lang w:val="sr-Latn-CS"/>
              </w:rPr>
            </w:pPr>
            <w:r>
              <w:rPr>
                <w:lang w:val="sr-Latn-CS"/>
              </w:rPr>
              <w:t>Vreme hlađenja bombe</w:t>
            </w:r>
          </w:p>
        </w:tc>
        <w:tc>
          <w:tcPr>
            <w:tcW w:w="1985" w:type="dxa"/>
            <w:shd w:val="clear" w:color="auto" w:fill="auto"/>
          </w:tcPr>
          <w:p w:rsidR="00B24895" w:rsidRDefault="00B24895" w:rsidP="003619FD">
            <w:pPr>
              <w:jc w:val="center"/>
              <w:rPr>
                <w:lang w:val="sr-Latn-CS"/>
              </w:rPr>
            </w:pPr>
            <w:r>
              <w:rPr>
                <w:lang w:val="sr-Latn-CS"/>
              </w:rPr>
              <w:t>5</w:t>
            </w:r>
          </w:p>
        </w:tc>
        <w:tc>
          <w:tcPr>
            <w:tcW w:w="2092" w:type="dxa"/>
            <w:shd w:val="clear" w:color="auto" w:fill="auto"/>
          </w:tcPr>
          <w:p w:rsidR="00B24895" w:rsidRDefault="00B24895" w:rsidP="003619FD">
            <w:pPr>
              <w:jc w:val="center"/>
              <w:rPr>
                <w:lang w:val="sr-Latn-CS"/>
              </w:rPr>
            </w:pPr>
            <w:r>
              <w:rPr>
                <w:lang w:val="sr-Latn-CS"/>
              </w:rPr>
              <w:t>25</w:t>
            </w:r>
          </w:p>
        </w:tc>
      </w:tr>
      <w:tr w:rsidR="00B24895" w:rsidTr="003619FD">
        <w:trPr>
          <w:jc w:val="center"/>
        </w:trPr>
        <w:tc>
          <w:tcPr>
            <w:tcW w:w="0" w:type="auto"/>
            <w:shd w:val="clear" w:color="auto" w:fill="auto"/>
          </w:tcPr>
          <w:p w:rsidR="00B24895" w:rsidRDefault="005D3CD5" w:rsidP="003619FD">
            <w:pPr>
              <w:jc w:val="center"/>
              <w:rPr>
                <w:lang w:val="sr-Latn-CS"/>
              </w:rPr>
            </w:pPr>
            <w:r>
              <w:rPr>
                <w:lang w:val="sr-Latn-CS"/>
              </w:rPr>
              <w:t>6</w:t>
            </w:r>
          </w:p>
        </w:tc>
        <w:tc>
          <w:tcPr>
            <w:tcW w:w="4101" w:type="dxa"/>
            <w:shd w:val="clear" w:color="auto" w:fill="auto"/>
          </w:tcPr>
          <w:p w:rsidR="00B24895" w:rsidRDefault="00B24895" w:rsidP="003619FD">
            <w:pPr>
              <w:rPr>
                <w:lang w:val="sr-Latn-CS"/>
              </w:rPr>
            </w:pPr>
            <w:r>
              <w:rPr>
                <w:lang w:val="sr-Latn-CS"/>
              </w:rPr>
              <w:t>Pomoćno gorivo (parafinsko ulje), µL</w:t>
            </w:r>
          </w:p>
        </w:tc>
        <w:tc>
          <w:tcPr>
            <w:tcW w:w="1985" w:type="dxa"/>
            <w:shd w:val="clear" w:color="auto" w:fill="auto"/>
          </w:tcPr>
          <w:p w:rsidR="00B24895" w:rsidRDefault="00B24895" w:rsidP="003619FD">
            <w:pPr>
              <w:jc w:val="center"/>
              <w:rPr>
                <w:lang w:val="sr-Latn-CS"/>
              </w:rPr>
            </w:pPr>
            <w:r>
              <w:rPr>
                <w:lang w:val="sr-Latn-CS"/>
              </w:rPr>
              <w:t>0</w:t>
            </w:r>
          </w:p>
        </w:tc>
        <w:tc>
          <w:tcPr>
            <w:tcW w:w="2092" w:type="dxa"/>
            <w:shd w:val="clear" w:color="auto" w:fill="auto"/>
          </w:tcPr>
          <w:p w:rsidR="00B24895" w:rsidRDefault="00B24895" w:rsidP="003619FD">
            <w:pPr>
              <w:jc w:val="center"/>
              <w:rPr>
                <w:lang w:val="sr-Latn-CS"/>
              </w:rPr>
            </w:pPr>
            <w:r>
              <w:rPr>
                <w:lang w:val="sr-Latn-CS"/>
              </w:rPr>
              <w:t>100</w:t>
            </w:r>
          </w:p>
        </w:tc>
      </w:tr>
    </w:tbl>
    <w:p w:rsidR="00865482" w:rsidRDefault="00865482" w:rsidP="00B24895">
      <w:pPr>
        <w:rPr>
          <w:color w:val="000000"/>
          <w:lang w:val="sr-Latn-CS"/>
        </w:rPr>
      </w:pPr>
    </w:p>
    <w:p w:rsidR="00865482" w:rsidRDefault="00B24895" w:rsidP="00B24895">
      <w:pPr>
        <w:rPr>
          <w:lang w:val="sr-Latn-CS"/>
        </w:rPr>
      </w:pPr>
      <w:r>
        <w:rPr>
          <w:color w:val="000000"/>
          <w:lang w:val="sr-Latn-CS"/>
        </w:rPr>
        <w:t xml:space="preserve">Pri reakciji sagorevanja organska supstanca se razlaže u reakciji sa kiseonikom na visokoj temperaturi. Da bi se obezbedio dovoljan višak kiseonika za reakciju sagorevanja, ispitan je uticaj kiseonika pri početnim pritiscima kiseonika u bombi od 1,5 i 2,5 MPa. </w:t>
      </w:r>
      <w:r>
        <w:rPr>
          <w:lang w:val="sr-Latn-CS"/>
        </w:rPr>
        <w:t xml:space="preserve">Kao katalizator izabran je vanadijum(V)-oksid zbog svoje velike aktivnosti. Cilj primene vanadijum-pentoksida je utvrditi uticaj katalizatora na sagorevanje u kiseoničnoj bombi organskih i neorganskih jedinjenja halogenih elemenata. </w:t>
      </w:r>
    </w:p>
    <w:p w:rsidR="00B24895" w:rsidRDefault="00B24895" w:rsidP="00B24895">
      <w:pPr>
        <w:rPr>
          <w:lang w:val="sr-Latn-CS"/>
        </w:rPr>
      </w:pPr>
      <w:r>
        <w:rPr>
          <w:lang w:val="sr-Latn-CS"/>
        </w:rPr>
        <w:t xml:space="preserve">Ugalj koji je </w:t>
      </w:r>
      <w:r w:rsidR="00865482">
        <w:rPr>
          <w:lang w:val="sr-Latn-CS"/>
        </w:rPr>
        <w:t>primer</w:t>
      </w:r>
      <w:r>
        <w:rPr>
          <w:lang w:val="sr-Latn-CS"/>
        </w:rPr>
        <w:t xml:space="preserve"> je lignit iz basena Kolubara. Karakteristike ovog uglja su visok sadržaj isparljivih materija, visok sadržaj vlage i nizak sadržaj sumpora, srednji sadržaj pepela i visoka toplotna vrednost. Mada je ugalj sagorljiva supstanca, kako bi se obezdedilo što potpunije sagorevanje i razlaganje neorganske materije ispitan je uticaj pomoćnog goriva. Kao pomoćno gorivo je korišćeno parafinsko mineralno ulje. Ulje je uzorcima dodavano neposredno pre sagorevanja, na tabletirani uzorak, a pre punjenja bombe kiseonikom. </w:t>
      </w:r>
    </w:p>
    <w:p w:rsidR="00B24895" w:rsidRDefault="00B24895" w:rsidP="00B24895">
      <w:pPr>
        <w:rPr>
          <w:lang w:val="sr-Latn-CS"/>
        </w:rPr>
      </w:pPr>
    </w:p>
    <w:p w:rsidR="00B24895" w:rsidRDefault="00B24895" w:rsidP="00B24895">
      <w:pPr>
        <w:rPr>
          <w:lang w:val="sr-Latn-CS"/>
        </w:rPr>
      </w:pPr>
      <w:r>
        <w:rPr>
          <w:lang w:val="sr-Latn-CS"/>
        </w:rPr>
        <w:t>Nakon sagorevanja uzorka uglja, ispitivani analiti su prisutni u obliku gasovitih jedinjenja, pa se mogu apsorbovati u odgovarajućem rastvoru pre analitičkog određivanja. Apsorpcija izdvojenih gasovitih jedinjenja halogena je ispitana u vodi i 1 mol/dm</w:t>
      </w:r>
      <w:r>
        <w:rPr>
          <w:vertAlign w:val="superscript"/>
          <w:lang w:val="sr-Latn-CS"/>
        </w:rPr>
        <w:t>3</w:t>
      </w:r>
      <w:r>
        <w:rPr>
          <w:lang w:val="sr-Latn-CS"/>
        </w:rPr>
        <w:t xml:space="preserve"> rastvoru NaOH. Na ovaj način je indirektno ispitan uticaj pH vrednosti apsorpcionog rastvora na rastvorljivost izdvojenih gasovitih jedinjenja. </w:t>
      </w:r>
    </w:p>
    <w:p w:rsidR="00B24895" w:rsidRDefault="00B24895" w:rsidP="00B24895">
      <w:pPr>
        <w:rPr>
          <w:lang w:val="sr-Latn-CS"/>
        </w:rPr>
      </w:pPr>
    </w:p>
    <w:p w:rsidR="00B24895" w:rsidRDefault="00B24895" w:rsidP="00B24895">
      <w:pPr>
        <w:rPr>
          <w:lang w:val="sr-Latn-CS"/>
        </w:rPr>
      </w:pPr>
      <w:r>
        <w:rPr>
          <w:lang w:val="sr-Latn-CS"/>
        </w:rPr>
        <w:t>Pri sagorevanju uglja, halogeni elementi mogu da se izdvajaju ne samo kao halogenovodonici, već i u elementarnom stanju ili kao oksihalogenidi. Pošto se merenje koncentracije halogen-jona u apsorpcionom rastvoru vrši primenom jonske hromatografije ili jon-selektivnom elektrodom, potrebno je da halogeni u apsorpcionom rastvoru budu u obliku odgovarajućih jona. Da bi se obezbedila redukcija halogena do oksidacionog stanja -1, ispitan je uticaj vodonik-peroksida kao redukcionog agensa. Ispitivan je uticaj dodatka H</w:t>
      </w:r>
      <w:r>
        <w:rPr>
          <w:vertAlign w:val="subscript"/>
          <w:lang w:val="sr-Latn-CS"/>
        </w:rPr>
        <w:t>2</w:t>
      </w:r>
      <w:r>
        <w:rPr>
          <w:lang w:val="sr-Latn-CS"/>
        </w:rPr>
        <w:t>O</w:t>
      </w:r>
      <w:r>
        <w:rPr>
          <w:vertAlign w:val="subscript"/>
          <w:lang w:val="sr-Latn-CS"/>
        </w:rPr>
        <w:t>2</w:t>
      </w:r>
      <w:r>
        <w:rPr>
          <w:lang w:val="sr-Latn-CS"/>
        </w:rPr>
        <w:t xml:space="preserve"> masenog udela 1,0 % i bez dodavanja vodonik-peroksida u apsorpcioni rastvor.</w:t>
      </w:r>
      <w:r w:rsidR="00E6742A">
        <w:rPr>
          <w:lang w:val="sr-Latn-CS"/>
        </w:rPr>
        <w:t xml:space="preserve"> </w:t>
      </w:r>
      <w:r>
        <w:rPr>
          <w:lang w:val="sr-Latn-CS"/>
        </w:rPr>
        <w:t xml:space="preserve">Rastvorljivost gasova u vodi i vodenim rastvorima se povećava sa smanjenjem temperature. Povećanje rastvorljivosti izdvojenih gasovitih jedinjenja u </w:t>
      </w:r>
      <w:r>
        <w:rPr>
          <w:lang w:val="sr-Latn-CS"/>
        </w:rPr>
        <w:lastRenderedPageBreak/>
        <w:t xml:space="preserve">apsorpcionom rastvoru ispitivano je hlađenjem bombe, nakon sagorevanja uglja, u ledenom kupatilu. Uticaj vremena hlađenja je ispitan za 5 i 25 minuta.  </w:t>
      </w:r>
    </w:p>
    <w:p w:rsidR="00B24895" w:rsidRDefault="00B24895" w:rsidP="00B24895">
      <w:pPr>
        <w:rPr>
          <w:color w:val="000000"/>
          <w:lang w:val="sr-Latn-CS"/>
        </w:rPr>
      </w:pPr>
    </w:p>
    <w:p w:rsidR="00B24895" w:rsidRDefault="00B24895" w:rsidP="00B24895">
      <w:pPr>
        <w:rPr>
          <w:lang w:val="sr-Latn-CS"/>
        </w:rPr>
      </w:pPr>
      <w:r w:rsidRPr="00865482">
        <w:rPr>
          <w:b/>
          <w:color w:val="000000"/>
          <w:lang w:val="sr-Latn-CS"/>
        </w:rPr>
        <w:t>Za potpuni faktorijski dizajn za šest ispitivanih parametara bilo bi potrebno izvršiti 64 eksperimenta</w:t>
      </w:r>
      <w:r>
        <w:rPr>
          <w:color w:val="000000"/>
          <w:lang w:val="sr-Latn-CS"/>
        </w:rPr>
        <w:t xml:space="preserve">. Pod predpostavkom da se interakcije između parametara višeg reda mogu zanemariti, za preliminarna istraživanja izabran je frakcionisani faktorijski dizajn. </w:t>
      </w:r>
      <w:r w:rsidRPr="00865482">
        <w:rPr>
          <w:b/>
          <w:color w:val="000000"/>
          <w:lang w:val="sr-Latn-CS"/>
        </w:rPr>
        <w:t>Frakcionisani faktorijski dizajn primenjen u ovom radu, predstavlja jednu četvrtinu potpunog faktorijskog dizajna i to je 2</w:t>
      </w:r>
      <w:r w:rsidRPr="00865482">
        <w:rPr>
          <w:b/>
          <w:color w:val="000000"/>
          <w:vertAlign w:val="superscript"/>
          <w:lang w:val="sr-Latn-CS"/>
        </w:rPr>
        <w:t>6-2</w:t>
      </w:r>
      <w:r w:rsidRPr="00865482">
        <w:rPr>
          <w:b/>
          <w:color w:val="000000"/>
          <w:lang w:val="sr-Latn-CS"/>
        </w:rPr>
        <w:t xml:space="preserve"> dizajn, koji je sadržao 19 eksperimenata sa tri ponavljanja u centralnoj tački</w:t>
      </w:r>
      <w:r>
        <w:rPr>
          <w:color w:val="000000"/>
          <w:lang w:val="sr-Latn-CS"/>
        </w:rPr>
        <w:t>. Prisustvo interakcija nižeg reda između ispitivanih faktora je ispitano definisanjem centralne tačke u kojoj su vrednosti za svaki ispitivani faktor na srednjem nivou. Matrica sa eksperimentalnim uslovima, za 6 varijabli i tri nivoa, prema izabranom frakcionisanom faktorijskom dizajnu, dobijena je korišćenjem statističkog softvera MINITAB</w:t>
      </w:r>
      <w:r w:rsidR="00E6742A">
        <w:rPr>
          <w:color w:val="000000"/>
          <w:lang w:val="sr-Latn-CS"/>
        </w:rPr>
        <w:t>:</w:t>
      </w:r>
      <w:r>
        <w:rPr>
          <w:color w:val="000000"/>
          <w:lang w:val="sr-Latn-CS"/>
        </w:rPr>
        <w:t xml:space="preserve"> </w:t>
      </w:r>
    </w:p>
    <w:p w:rsidR="00B24895" w:rsidRDefault="00B24895" w:rsidP="00B24895">
      <w:pPr>
        <w:rPr>
          <w:lang w:val="sr-Latn-CS"/>
        </w:rPr>
      </w:pPr>
      <w:r>
        <w:rPr>
          <w:lang w:val="sr-Latn-CS"/>
        </w:rPr>
        <w:t>Tabela 5.3 Frakcionisani faktorijski dizajn sagorevanja u kiseoničnoj bombi, realne vrednosti</w:t>
      </w:r>
      <w:r w:rsidR="00E6742A">
        <w:rPr>
          <w:lang w:val="sr-Latn-CS"/>
        </w:rPr>
        <w:t xml:space="preserve"> matrice</w:t>
      </w:r>
    </w:p>
    <w:tbl>
      <w:tblPr>
        <w:tblW w:w="5000" w:type="pct"/>
        <w:tblBorders>
          <w:top w:val="double" w:sz="4" w:space="0" w:color="auto"/>
          <w:left w:val="double" w:sz="4" w:space="0" w:color="auto"/>
          <w:bottom w:val="double" w:sz="4" w:space="0" w:color="auto"/>
          <w:right w:val="double" w:sz="4" w:space="0" w:color="auto"/>
        </w:tblBorders>
        <w:tblCellMar>
          <w:left w:w="0" w:type="dxa"/>
          <w:right w:w="0" w:type="dxa"/>
        </w:tblCellMar>
        <w:tblLook w:val="04A0"/>
      </w:tblPr>
      <w:tblGrid>
        <w:gridCol w:w="875"/>
        <w:gridCol w:w="1128"/>
        <w:gridCol w:w="2214"/>
        <w:gridCol w:w="1653"/>
        <w:gridCol w:w="1178"/>
        <w:gridCol w:w="1218"/>
        <w:gridCol w:w="1310"/>
      </w:tblGrid>
      <w:tr w:rsidR="00B24895" w:rsidTr="003619FD">
        <w:trPr>
          <w:trHeight w:val="1007"/>
        </w:trPr>
        <w:tc>
          <w:tcPr>
            <w:tcW w:w="457" w:type="pct"/>
            <w:tcBorders>
              <w:top w:val="double" w:sz="4" w:space="0" w:color="auto"/>
              <w:bottom w:val="double" w:sz="4" w:space="0" w:color="auto"/>
              <w:right w:val="single" w:sz="4" w:space="0" w:color="auto"/>
            </w:tcBorders>
            <w:shd w:val="pct5" w:color="auto" w:fill="auto"/>
            <w:tcMar>
              <w:top w:w="15" w:type="dxa"/>
              <w:left w:w="108" w:type="dxa"/>
              <w:bottom w:w="0" w:type="dxa"/>
              <w:right w:w="108" w:type="dxa"/>
            </w:tcMar>
            <w:vAlign w:val="center"/>
          </w:tcPr>
          <w:p w:rsidR="00B24895" w:rsidRDefault="00B24895" w:rsidP="003619FD">
            <w:pPr>
              <w:jc w:val="center"/>
              <w:rPr>
                <w:b/>
                <w:lang w:val="sr-Latn-CS"/>
              </w:rPr>
            </w:pPr>
            <w:r>
              <w:rPr>
                <w:b/>
                <w:color w:val="000000"/>
                <w:kern w:val="24"/>
                <w:lang w:val="sr-Latn-CS"/>
              </w:rPr>
              <w:t>Br. eksp.</w:t>
            </w:r>
          </w:p>
        </w:tc>
        <w:tc>
          <w:tcPr>
            <w:tcW w:w="589" w:type="pct"/>
            <w:tcBorders>
              <w:top w:val="double" w:sz="4" w:space="0" w:color="auto"/>
              <w:left w:val="single" w:sz="4" w:space="0" w:color="auto"/>
              <w:bottom w:val="double" w:sz="4" w:space="0" w:color="auto"/>
              <w:right w:val="single" w:sz="4" w:space="0" w:color="auto"/>
            </w:tcBorders>
            <w:shd w:val="pct5" w:color="auto" w:fill="auto"/>
            <w:tcMar>
              <w:top w:w="15" w:type="dxa"/>
              <w:left w:w="108" w:type="dxa"/>
              <w:bottom w:w="0" w:type="dxa"/>
              <w:right w:w="108" w:type="dxa"/>
            </w:tcMar>
            <w:vAlign w:val="center"/>
          </w:tcPr>
          <w:p w:rsidR="00B24895" w:rsidRDefault="00B24895" w:rsidP="003619FD">
            <w:pPr>
              <w:jc w:val="center"/>
              <w:rPr>
                <w:b/>
                <w:lang w:val="sr-Latn-CS"/>
              </w:rPr>
            </w:pPr>
            <w:r>
              <w:rPr>
                <w:b/>
                <w:color w:val="000000"/>
                <w:kern w:val="24"/>
                <w:lang w:val="sr-Latn-CS"/>
              </w:rPr>
              <w:t>p(O</w:t>
            </w:r>
            <w:r>
              <w:rPr>
                <w:b/>
                <w:color w:val="000000"/>
                <w:kern w:val="24"/>
                <w:vertAlign w:val="subscript"/>
                <w:lang w:val="sr-Latn-CS"/>
              </w:rPr>
              <w:t>2</w:t>
            </w:r>
            <w:r>
              <w:rPr>
                <w:b/>
                <w:color w:val="000000"/>
                <w:kern w:val="24"/>
                <w:lang w:val="sr-Latn-CS"/>
              </w:rPr>
              <w:t>),</w:t>
            </w:r>
          </w:p>
          <w:p w:rsidR="00B24895" w:rsidRDefault="00B24895" w:rsidP="003619FD">
            <w:pPr>
              <w:jc w:val="center"/>
              <w:rPr>
                <w:b/>
                <w:lang w:val="sr-Latn-CS"/>
              </w:rPr>
            </w:pPr>
            <w:r>
              <w:rPr>
                <w:b/>
                <w:color w:val="000000"/>
                <w:kern w:val="24"/>
                <w:lang w:val="sr-Latn-CS"/>
              </w:rPr>
              <w:t>(MPa)</w:t>
            </w:r>
          </w:p>
        </w:tc>
        <w:tc>
          <w:tcPr>
            <w:tcW w:w="1156" w:type="pct"/>
            <w:tcBorders>
              <w:top w:val="double" w:sz="4" w:space="0" w:color="auto"/>
              <w:left w:val="single" w:sz="4" w:space="0" w:color="auto"/>
              <w:bottom w:val="double" w:sz="4" w:space="0" w:color="auto"/>
              <w:right w:val="single" w:sz="4" w:space="0" w:color="auto"/>
            </w:tcBorders>
            <w:shd w:val="pct5" w:color="auto" w:fill="auto"/>
            <w:tcMar>
              <w:top w:w="15" w:type="dxa"/>
              <w:left w:w="108" w:type="dxa"/>
              <w:bottom w:w="0" w:type="dxa"/>
              <w:right w:w="108" w:type="dxa"/>
            </w:tcMar>
            <w:vAlign w:val="center"/>
          </w:tcPr>
          <w:p w:rsidR="00B24895" w:rsidRDefault="00B24895" w:rsidP="003619FD">
            <w:pPr>
              <w:jc w:val="center"/>
              <w:rPr>
                <w:b/>
                <w:lang w:val="sr-Latn-CS"/>
              </w:rPr>
            </w:pPr>
            <w:r>
              <w:rPr>
                <w:b/>
                <w:i/>
                <w:lang w:val="sr-Latn-CS"/>
              </w:rPr>
              <w:t>m</w:t>
            </w:r>
            <w:r>
              <w:rPr>
                <w:b/>
                <w:lang w:val="sr-Latn-CS"/>
              </w:rPr>
              <w:t>(V</w:t>
            </w:r>
            <w:r>
              <w:rPr>
                <w:b/>
                <w:vertAlign w:val="subscript"/>
                <w:lang w:val="sr-Latn-CS"/>
              </w:rPr>
              <w:t>2</w:t>
            </w:r>
            <w:r>
              <w:rPr>
                <w:b/>
                <w:lang w:val="sr-Latn-CS"/>
              </w:rPr>
              <w:t>O</w:t>
            </w:r>
            <w:r>
              <w:rPr>
                <w:b/>
                <w:vertAlign w:val="subscript"/>
                <w:lang w:val="sr-Latn-CS"/>
              </w:rPr>
              <w:t>5</w:t>
            </w:r>
            <w:r>
              <w:rPr>
                <w:b/>
                <w:lang w:val="sr-Latn-CS"/>
              </w:rPr>
              <w:t>)/</w:t>
            </w:r>
            <w:r>
              <w:rPr>
                <w:b/>
                <w:i/>
                <w:lang w:val="sr-Latn-CS"/>
              </w:rPr>
              <w:t>m</w:t>
            </w:r>
            <w:r>
              <w:rPr>
                <w:b/>
                <w:lang w:val="sr-Latn-CS"/>
              </w:rPr>
              <w:t>(uglja)</w:t>
            </w:r>
          </w:p>
        </w:tc>
        <w:tc>
          <w:tcPr>
            <w:tcW w:w="863" w:type="pct"/>
            <w:tcBorders>
              <w:top w:val="double" w:sz="4" w:space="0" w:color="auto"/>
              <w:left w:val="single" w:sz="4" w:space="0" w:color="auto"/>
              <w:bottom w:val="double" w:sz="4" w:space="0" w:color="auto"/>
              <w:right w:val="single" w:sz="4" w:space="0" w:color="auto"/>
            </w:tcBorders>
            <w:shd w:val="pct5" w:color="auto" w:fill="auto"/>
            <w:tcMar>
              <w:top w:w="15" w:type="dxa"/>
              <w:left w:w="108" w:type="dxa"/>
              <w:bottom w:w="0" w:type="dxa"/>
              <w:right w:w="108" w:type="dxa"/>
            </w:tcMar>
            <w:vAlign w:val="center"/>
          </w:tcPr>
          <w:p w:rsidR="00B24895" w:rsidRDefault="00B24895" w:rsidP="003619FD">
            <w:pPr>
              <w:jc w:val="center"/>
              <w:rPr>
                <w:b/>
                <w:lang w:val="sr-Latn-CS"/>
              </w:rPr>
            </w:pPr>
            <w:r>
              <w:rPr>
                <w:b/>
                <w:color w:val="000000"/>
                <w:kern w:val="24"/>
                <w:lang w:val="sr-Latn-CS"/>
              </w:rPr>
              <w:t>Apsorpcioni rastvor</w:t>
            </w:r>
          </w:p>
        </w:tc>
        <w:tc>
          <w:tcPr>
            <w:tcW w:w="615" w:type="pct"/>
            <w:tcBorders>
              <w:top w:val="double" w:sz="4" w:space="0" w:color="auto"/>
              <w:left w:val="single" w:sz="4" w:space="0" w:color="auto"/>
              <w:bottom w:val="double" w:sz="4" w:space="0" w:color="auto"/>
              <w:right w:val="single" w:sz="4" w:space="0" w:color="auto"/>
            </w:tcBorders>
            <w:shd w:val="pct5" w:color="auto" w:fill="auto"/>
            <w:tcMar>
              <w:top w:w="15" w:type="dxa"/>
              <w:left w:w="108" w:type="dxa"/>
              <w:bottom w:w="0" w:type="dxa"/>
              <w:right w:w="108" w:type="dxa"/>
            </w:tcMar>
            <w:vAlign w:val="center"/>
          </w:tcPr>
          <w:p w:rsidR="00B24895" w:rsidRDefault="00B24895" w:rsidP="003619FD">
            <w:pPr>
              <w:jc w:val="center"/>
              <w:rPr>
                <w:b/>
                <w:vertAlign w:val="subscript"/>
                <w:lang w:val="sr-Latn-CS"/>
              </w:rPr>
            </w:pPr>
            <w:r>
              <w:rPr>
                <w:b/>
                <w:lang w:val="sr-Latn-CS"/>
              </w:rPr>
              <w:t>H</w:t>
            </w:r>
            <w:r>
              <w:rPr>
                <w:b/>
                <w:vertAlign w:val="subscript"/>
                <w:lang w:val="sr-Latn-CS"/>
              </w:rPr>
              <w:t>2</w:t>
            </w:r>
            <w:r>
              <w:rPr>
                <w:b/>
                <w:lang w:val="sr-Latn-CS"/>
              </w:rPr>
              <w:t>O</w:t>
            </w:r>
            <w:r>
              <w:rPr>
                <w:b/>
                <w:vertAlign w:val="subscript"/>
                <w:lang w:val="sr-Latn-CS"/>
              </w:rPr>
              <w:t>2</w:t>
            </w:r>
          </w:p>
          <w:p w:rsidR="00B24895" w:rsidRDefault="00B24895" w:rsidP="003619FD">
            <w:pPr>
              <w:jc w:val="center"/>
              <w:rPr>
                <w:b/>
                <w:lang w:val="sr-Latn-CS"/>
              </w:rPr>
            </w:pPr>
            <w:r>
              <w:rPr>
                <w:b/>
                <w:lang w:val="sr-Latn-CS"/>
              </w:rPr>
              <w:t>(w, %)</w:t>
            </w:r>
          </w:p>
        </w:tc>
        <w:tc>
          <w:tcPr>
            <w:tcW w:w="636" w:type="pct"/>
            <w:tcBorders>
              <w:top w:val="double" w:sz="4" w:space="0" w:color="auto"/>
              <w:left w:val="single" w:sz="4" w:space="0" w:color="auto"/>
              <w:bottom w:val="double" w:sz="4" w:space="0" w:color="auto"/>
              <w:right w:val="single" w:sz="4" w:space="0" w:color="auto"/>
            </w:tcBorders>
            <w:shd w:val="pct5" w:color="auto" w:fill="auto"/>
            <w:tcMar>
              <w:top w:w="15" w:type="dxa"/>
              <w:left w:w="108" w:type="dxa"/>
              <w:bottom w:w="0" w:type="dxa"/>
              <w:right w:w="108" w:type="dxa"/>
            </w:tcMar>
            <w:vAlign w:val="center"/>
          </w:tcPr>
          <w:p w:rsidR="00B24895" w:rsidRDefault="00B24895" w:rsidP="003619FD">
            <w:pPr>
              <w:jc w:val="center"/>
              <w:rPr>
                <w:b/>
                <w:lang w:val="sr-Latn-CS"/>
              </w:rPr>
            </w:pPr>
            <w:r>
              <w:rPr>
                <w:b/>
                <w:lang w:val="sr-Latn-CS"/>
              </w:rPr>
              <w:t>Vreme hlađenja</w:t>
            </w:r>
          </w:p>
          <w:p w:rsidR="00B24895" w:rsidRDefault="00B24895" w:rsidP="003619FD">
            <w:pPr>
              <w:jc w:val="center"/>
              <w:rPr>
                <w:b/>
                <w:lang w:val="sr-Latn-CS"/>
              </w:rPr>
            </w:pPr>
            <w:r>
              <w:rPr>
                <w:b/>
                <w:lang w:val="sr-Latn-CS"/>
              </w:rPr>
              <w:t>(min)</w:t>
            </w:r>
          </w:p>
        </w:tc>
        <w:tc>
          <w:tcPr>
            <w:tcW w:w="684" w:type="pct"/>
            <w:tcBorders>
              <w:top w:val="double" w:sz="4" w:space="0" w:color="auto"/>
              <w:left w:val="single" w:sz="4" w:space="0" w:color="auto"/>
              <w:bottom w:val="double" w:sz="4" w:space="0" w:color="auto"/>
            </w:tcBorders>
            <w:shd w:val="pct5" w:color="auto" w:fill="auto"/>
            <w:tcMar>
              <w:top w:w="15" w:type="dxa"/>
              <w:left w:w="108" w:type="dxa"/>
              <w:bottom w:w="0" w:type="dxa"/>
              <w:right w:w="108" w:type="dxa"/>
            </w:tcMar>
            <w:vAlign w:val="center"/>
          </w:tcPr>
          <w:p w:rsidR="00B24895" w:rsidRDefault="00B24895" w:rsidP="003619FD">
            <w:pPr>
              <w:jc w:val="center"/>
              <w:rPr>
                <w:b/>
                <w:i/>
                <w:lang w:val="sr-Latn-CS"/>
              </w:rPr>
            </w:pPr>
            <w:r>
              <w:rPr>
                <w:b/>
                <w:lang w:val="sr-Latn-CS"/>
              </w:rPr>
              <w:t>Pomoćno gorivo</w:t>
            </w:r>
          </w:p>
          <w:p w:rsidR="00B24895" w:rsidRDefault="00B24895" w:rsidP="003619FD">
            <w:pPr>
              <w:jc w:val="center"/>
              <w:rPr>
                <w:b/>
                <w:lang w:val="sr-Latn-CS"/>
              </w:rPr>
            </w:pPr>
            <w:r>
              <w:rPr>
                <w:b/>
                <w:lang w:val="sr-Latn-CS"/>
              </w:rPr>
              <w:t>(µL)</w:t>
            </w:r>
          </w:p>
        </w:tc>
      </w:tr>
      <w:tr w:rsidR="00B24895" w:rsidTr="003619FD">
        <w:trPr>
          <w:trHeight w:val="370"/>
        </w:trPr>
        <w:tc>
          <w:tcPr>
            <w:tcW w:w="457" w:type="pct"/>
            <w:tcBorders>
              <w:top w:val="doub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1</w:t>
            </w:r>
          </w:p>
        </w:tc>
        <w:tc>
          <w:tcPr>
            <w:tcW w:w="589" w:type="pct"/>
            <w:tcBorders>
              <w:top w:val="doub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1,5</w:t>
            </w:r>
          </w:p>
        </w:tc>
        <w:tc>
          <w:tcPr>
            <w:tcW w:w="1156" w:type="pct"/>
            <w:tcBorders>
              <w:top w:val="doub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w:t>
            </w:r>
          </w:p>
        </w:tc>
        <w:tc>
          <w:tcPr>
            <w:tcW w:w="863" w:type="pct"/>
            <w:tcBorders>
              <w:top w:val="doub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 xml:space="preserve">1 </w:t>
            </w:r>
            <w:r>
              <w:rPr>
                <w:lang w:val="sr-Latn-CS"/>
              </w:rPr>
              <w:t>M</w:t>
            </w:r>
            <w:r>
              <w:rPr>
                <w:color w:val="000000"/>
                <w:kern w:val="24"/>
                <w:lang w:val="sr-Latn-CS"/>
              </w:rPr>
              <w:t xml:space="preserve"> NaOH</w:t>
            </w:r>
          </w:p>
        </w:tc>
        <w:tc>
          <w:tcPr>
            <w:tcW w:w="615" w:type="pct"/>
            <w:tcBorders>
              <w:top w:val="doub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w:t>
            </w:r>
          </w:p>
        </w:tc>
        <w:tc>
          <w:tcPr>
            <w:tcW w:w="636" w:type="pct"/>
            <w:tcBorders>
              <w:top w:val="doub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25</w:t>
            </w:r>
          </w:p>
        </w:tc>
        <w:tc>
          <w:tcPr>
            <w:tcW w:w="684" w:type="pct"/>
            <w:tcBorders>
              <w:top w:val="double" w:sz="4" w:space="0" w:color="auto"/>
              <w:left w:val="single" w:sz="4" w:space="0" w:color="auto"/>
              <w:bottom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100</w:t>
            </w:r>
          </w:p>
        </w:tc>
      </w:tr>
      <w:tr w:rsidR="00B24895" w:rsidTr="003619FD">
        <w:trPr>
          <w:trHeight w:val="370"/>
        </w:trPr>
        <w:tc>
          <w:tcPr>
            <w:tcW w:w="457" w:type="pct"/>
            <w:tcBorders>
              <w:top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2</w:t>
            </w:r>
          </w:p>
        </w:tc>
        <w:tc>
          <w:tcPr>
            <w:tcW w:w="589"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1,5</w:t>
            </w:r>
          </w:p>
        </w:tc>
        <w:tc>
          <w:tcPr>
            <w:tcW w:w="115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0</w:t>
            </w:r>
          </w:p>
        </w:tc>
        <w:tc>
          <w:tcPr>
            <w:tcW w:w="863"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H</w:t>
            </w:r>
            <w:r>
              <w:rPr>
                <w:color w:val="000000"/>
                <w:kern w:val="24"/>
                <w:vertAlign w:val="subscript"/>
                <w:lang w:val="sr-Latn-CS"/>
              </w:rPr>
              <w:t>2</w:t>
            </w:r>
            <w:r>
              <w:rPr>
                <w:color w:val="000000"/>
                <w:kern w:val="24"/>
                <w:lang w:val="sr-Latn-CS"/>
              </w:rPr>
              <w:t>O</w:t>
            </w:r>
          </w:p>
        </w:tc>
        <w:tc>
          <w:tcPr>
            <w:tcW w:w="615"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5</w:t>
            </w:r>
          </w:p>
        </w:tc>
        <w:tc>
          <w:tcPr>
            <w:tcW w:w="684" w:type="pct"/>
            <w:tcBorders>
              <w:top w:val="single" w:sz="4" w:space="0" w:color="auto"/>
              <w:left w:val="single" w:sz="4" w:space="0" w:color="auto"/>
              <w:bottom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w:t>
            </w:r>
          </w:p>
        </w:tc>
      </w:tr>
      <w:tr w:rsidR="00B24895" w:rsidTr="003619FD">
        <w:trPr>
          <w:trHeight w:val="370"/>
        </w:trPr>
        <w:tc>
          <w:tcPr>
            <w:tcW w:w="457" w:type="pct"/>
            <w:tcBorders>
              <w:top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3</w:t>
            </w:r>
          </w:p>
        </w:tc>
        <w:tc>
          <w:tcPr>
            <w:tcW w:w="589"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2,5</w:t>
            </w:r>
          </w:p>
        </w:tc>
        <w:tc>
          <w:tcPr>
            <w:tcW w:w="115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0,5</w:t>
            </w:r>
          </w:p>
        </w:tc>
        <w:tc>
          <w:tcPr>
            <w:tcW w:w="863"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H</w:t>
            </w:r>
            <w:r>
              <w:rPr>
                <w:color w:val="000000"/>
                <w:kern w:val="24"/>
                <w:vertAlign w:val="subscript"/>
                <w:lang w:val="sr-Latn-CS"/>
              </w:rPr>
              <w:t>2</w:t>
            </w:r>
            <w:r>
              <w:rPr>
                <w:color w:val="000000"/>
                <w:kern w:val="24"/>
                <w:lang w:val="sr-Latn-CS"/>
              </w:rPr>
              <w:t>O</w:t>
            </w:r>
          </w:p>
        </w:tc>
        <w:tc>
          <w:tcPr>
            <w:tcW w:w="615"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1</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5</w:t>
            </w:r>
          </w:p>
        </w:tc>
        <w:tc>
          <w:tcPr>
            <w:tcW w:w="684" w:type="pct"/>
            <w:tcBorders>
              <w:top w:val="single" w:sz="4" w:space="0" w:color="auto"/>
              <w:left w:val="single" w:sz="4" w:space="0" w:color="auto"/>
              <w:bottom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w:t>
            </w:r>
          </w:p>
        </w:tc>
      </w:tr>
      <w:tr w:rsidR="00B24895" w:rsidTr="003619FD">
        <w:trPr>
          <w:trHeight w:val="370"/>
        </w:trPr>
        <w:tc>
          <w:tcPr>
            <w:tcW w:w="457" w:type="pct"/>
            <w:tcBorders>
              <w:top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4</w:t>
            </w:r>
          </w:p>
        </w:tc>
        <w:tc>
          <w:tcPr>
            <w:tcW w:w="589"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2,5</w:t>
            </w:r>
          </w:p>
        </w:tc>
        <w:tc>
          <w:tcPr>
            <w:tcW w:w="115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w:t>
            </w:r>
          </w:p>
        </w:tc>
        <w:tc>
          <w:tcPr>
            <w:tcW w:w="863"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 xml:space="preserve">1 </w:t>
            </w:r>
            <w:r>
              <w:rPr>
                <w:lang w:val="sr-Latn-CS"/>
              </w:rPr>
              <w:t>M</w:t>
            </w:r>
            <w:r>
              <w:rPr>
                <w:color w:val="000000"/>
                <w:kern w:val="24"/>
                <w:lang w:val="sr-Latn-CS"/>
              </w:rPr>
              <w:t xml:space="preserve"> NaOH</w:t>
            </w:r>
          </w:p>
        </w:tc>
        <w:tc>
          <w:tcPr>
            <w:tcW w:w="615"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5</w:t>
            </w:r>
          </w:p>
        </w:tc>
        <w:tc>
          <w:tcPr>
            <w:tcW w:w="684" w:type="pct"/>
            <w:tcBorders>
              <w:top w:val="single" w:sz="4" w:space="0" w:color="auto"/>
              <w:left w:val="single" w:sz="4" w:space="0" w:color="auto"/>
              <w:bottom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100</w:t>
            </w:r>
          </w:p>
        </w:tc>
      </w:tr>
      <w:tr w:rsidR="00B24895" w:rsidTr="003619FD">
        <w:trPr>
          <w:trHeight w:val="370"/>
        </w:trPr>
        <w:tc>
          <w:tcPr>
            <w:tcW w:w="457" w:type="pct"/>
            <w:tcBorders>
              <w:top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5</w:t>
            </w:r>
          </w:p>
        </w:tc>
        <w:tc>
          <w:tcPr>
            <w:tcW w:w="589"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1,5</w:t>
            </w:r>
          </w:p>
        </w:tc>
        <w:tc>
          <w:tcPr>
            <w:tcW w:w="115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0,5</w:t>
            </w:r>
          </w:p>
        </w:tc>
        <w:tc>
          <w:tcPr>
            <w:tcW w:w="863"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 xml:space="preserve">1 </w:t>
            </w:r>
            <w:r>
              <w:rPr>
                <w:lang w:val="sr-Latn-CS"/>
              </w:rPr>
              <w:t>M</w:t>
            </w:r>
            <w:r>
              <w:rPr>
                <w:color w:val="000000"/>
                <w:kern w:val="24"/>
                <w:lang w:val="sr-Latn-CS"/>
              </w:rPr>
              <w:t xml:space="preserve"> NaOH</w:t>
            </w:r>
          </w:p>
        </w:tc>
        <w:tc>
          <w:tcPr>
            <w:tcW w:w="615"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5</w:t>
            </w:r>
          </w:p>
        </w:tc>
        <w:tc>
          <w:tcPr>
            <w:tcW w:w="684" w:type="pct"/>
            <w:tcBorders>
              <w:top w:val="single" w:sz="4" w:space="0" w:color="auto"/>
              <w:left w:val="single" w:sz="4" w:space="0" w:color="auto"/>
              <w:bottom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w:t>
            </w:r>
          </w:p>
        </w:tc>
      </w:tr>
      <w:tr w:rsidR="00B24895" w:rsidTr="003619FD">
        <w:trPr>
          <w:trHeight w:val="370"/>
        </w:trPr>
        <w:tc>
          <w:tcPr>
            <w:tcW w:w="457" w:type="pct"/>
            <w:tcBorders>
              <w:top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6</w:t>
            </w:r>
          </w:p>
        </w:tc>
        <w:tc>
          <w:tcPr>
            <w:tcW w:w="589"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1,5</w:t>
            </w:r>
          </w:p>
        </w:tc>
        <w:tc>
          <w:tcPr>
            <w:tcW w:w="115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0,5</w:t>
            </w:r>
          </w:p>
        </w:tc>
        <w:tc>
          <w:tcPr>
            <w:tcW w:w="863"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H</w:t>
            </w:r>
            <w:r>
              <w:rPr>
                <w:color w:val="000000"/>
                <w:kern w:val="24"/>
                <w:vertAlign w:val="subscript"/>
                <w:lang w:val="sr-Latn-CS"/>
              </w:rPr>
              <w:t>2</w:t>
            </w:r>
            <w:r>
              <w:rPr>
                <w:color w:val="000000"/>
                <w:kern w:val="24"/>
                <w:lang w:val="sr-Latn-CS"/>
              </w:rPr>
              <w:t>O</w:t>
            </w:r>
          </w:p>
        </w:tc>
        <w:tc>
          <w:tcPr>
            <w:tcW w:w="615"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1</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25</w:t>
            </w:r>
          </w:p>
        </w:tc>
        <w:tc>
          <w:tcPr>
            <w:tcW w:w="684" w:type="pct"/>
            <w:tcBorders>
              <w:top w:val="single" w:sz="4" w:space="0" w:color="auto"/>
              <w:left w:val="single" w:sz="4" w:space="0" w:color="auto"/>
              <w:bottom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w:t>
            </w:r>
          </w:p>
        </w:tc>
      </w:tr>
      <w:tr w:rsidR="00B24895" w:rsidTr="003619FD">
        <w:trPr>
          <w:trHeight w:val="370"/>
        </w:trPr>
        <w:tc>
          <w:tcPr>
            <w:tcW w:w="457" w:type="pct"/>
            <w:tcBorders>
              <w:top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7</w:t>
            </w:r>
          </w:p>
        </w:tc>
        <w:tc>
          <w:tcPr>
            <w:tcW w:w="589"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1,5</w:t>
            </w:r>
          </w:p>
        </w:tc>
        <w:tc>
          <w:tcPr>
            <w:tcW w:w="115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0,5</w:t>
            </w:r>
          </w:p>
        </w:tc>
        <w:tc>
          <w:tcPr>
            <w:tcW w:w="863"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 xml:space="preserve">1 </w:t>
            </w:r>
            <w:r>
              <w:rPr>
                <w:lang w:val="sr-Latn-CS"/>
              </w:rPr>
              <w:t>M</w:t>
            </w:r>
            <w:r>
              <w:rPr>
                <w:color w:val="000000"/>
                <w:kern w:val="24"/>
                <w:lang w:val="sr-Latn-CS"/>
              </w:rPr>
              <w:t xml:space="preserve"> NaOH</w:t>
            </w:r>
          </w:p>
        </w:tc>
        <w:tc>
          <w:tcPr>
            <w:tcW w:w="615"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1</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5</w:t>
            </w:r>
          </w:p>
        </w:tc>
        <w:tc>
          <w:tcPr>
            <w:tcW w:w="684" w:type="pct"/>
            <w:tcBorders>
              <w:top w:val="single" w:sz="4" w:space="0" w:color="auto"/>
              <w:left w:val="single" w:sz="4" w:space="0" w:color="auto"/>
              <w:bottom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100</w:t>
            </w:r>
          </w:p>
        </w:tc>
      </w:tr>
      <w:tr w:rsidR="00B24895" w:rsidTr="003619FD">
        <w:trPr>
          <w:trHeight w:val="370"/>
        </w:trPr>
        <w:tc>
          <w:tcPr>
            <w:tcW w:w="457" w:type="pct"/>
            <w:tcBorders>
              <w:top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8</w:t>
            </w:r>
          </w:p>
        </w:tc>
        <w:tc>
          <w:tcPr>
            <w:tcW w:w="589"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2,5</w:t>
            </w:r>
          </w:p>
        </w:tc>
        <w:tc>
          <w:tcPr>
            <w:tcW w:w="115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0,5</w:t>
            </w:r>
          </w:p>
        </w:tc>
        <w:tc>
          <w:tcPr>
            <w:tcW w:w="863"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 xml:space="preserve">1 </w:t>
            </w:r>
            <w:r>
              <w:rPr>
                <w:lang w:val="sr-Latn-CS"/>
              </w:rPr>
              <w:t>M</w:t>
            </w:r>
            <w:r>
              <w:rPr>
                <w:color w:val="000000"/>
                <w:kern w:val="24"/>
                <w:lang w:val="sr-Latn-CS"/>
              </w:rPr>
              <w:t xml:space="preserve"> NaOH</w:t>
            </w:r>
          </w:p>
        </w:tc>
        <w:tc>
          <w:tcPr>
            <w:tcW w:w="615"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1</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25</w:t>
            </w:r>
          </w:p>
        </w:tc>
        <w:tc>
          <w:tcPr>
            <w:tcW w:w="684" w:type="pct"/>
            <w:tcBorders>
              <w:top w:val="single" w:sz="4" w:space="0" w:color="auto"/>
              <w:left w:val="single" w:sz="4" w:space="0" w:color="auto"/>
              <w:bottom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100</w:t>
            </w:r>
          </w:p>
        </w:tc>
      </w:tr>
      <w:tr w:rsidR="00B24895" w:rsidTr="003619FD">
        <w:trPr>
          <w:trHeight w:val="370"/>
        </w:trPr>
        <w:tc>
          <w:tcPr>
            <w:tcW w:w="457" w:type="pct"/>
            <w:tcBorders>
              <w:top w:val="single" w:sz="4" w:space="0" w:color="auto"/>
              <w:left w:val="doub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color w:val="000000"/>
                <w:kern w:val="24"/>
                <w:lang w:val="sr-Latn-CS"/>
              </w:rPr>
            </w:pPr>
            <w:r>
              <w:rPr>
                <w:color w:val="000000"/>
                <w:kern w:val="24"/>
                <w:lang w:val="sr-Latn-CS"/>
              </w:rPr>
              <w:t>9</w:t>
            </w:r>
          </w:p>
        </w:tc>
        <w:tc>
          <w:tcPr>
            <w:tcW w:w="589"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color w:val="000000"/>
                <w:kern w:val="24"/>
                <w:lang w:val="sr-Latn-CS"/>
              </w:rPr>
            </w:pPr>
            <w:r>
              <w:rPr>
                <w:color w:val="000000"/>
                <w:kern w:val="24"/>
                <w:lang w:val="sr-Latn-CS"/>
              </w:rPr>
              <w:t>2,5</w:t>
            </w:r>
          </w:p>
        </w:tc>
        <w:tc>
          <w:tcPr>
            <w:tcW w:w="115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color w:val="000000"/>
                <w:kern w:val="24"/>
                <w:lang w:val="sr-Latn-CS"/>
              </w:rPr>
            </w:pPr>
            <w:r>
              <w:rPr>
                <w:color w:val="000000"/>
                <w:kern w:val="24"/>
                <w:lang w:val="sr-Latn-CS"/>
              </w:rPr>
              <w:t>0,5</w:t>
            </w:r>
          </w:p>
        </w:tc>
        <w:tc>
          <w:tcPr>
            <w:tcW w:w="863"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color w:val="000000"/>
                <w:kern w:val="24"/>
                <w:lang w:val="sr-Latn-CS"/>
              </w:rPr>
            </w:pPr>
            <w:r>
              <w:rPr>
                <w:color w:val="000000"/>
                <w:kern w:val="24"/>
                <w:lang w:val="sr-Latn-CS"/>
              </w:rPr>
              <w:t>H2O</w:t>
            </w:r>
          </w:p>
        </w:tc>
        <w:tc>
          <w:tcPr>
            <w:tcW w:w="615"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5</w:t>
            </w:r>
          </w:p>
        </w:tc>
        <w:tc>
          <w:tcPr>
            <w:tcW w:w="684" w:type="pct"/>
            <w:tcBorders>
              <w:top w:val="single" w:sz="4" w:space="0" w:color="auto"/>
              <w:left w:val="single" w:sz="4" w:space="0" w:color="auto"/>
              <w:bottom w:val="single" w:sz="4" w:space="0" w:color="auto"/>
              <w:right w:val="doub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100</w:t>
            </w:r>
          </w:p>
        </w:tc>
      </w:tr>
      <w:tr w:rsidR="00B24895" w:rsidTr="003619FD">
        <w:trPr>
          <w:trHeight w:val="370"/>
        </w:trPr>
        <w:tc>
          <w:tcPr>
            <w:tcW w:w="457" w:type="pct"/>
            <w:tcBorders>
              <w:top w:val="single" w:sz="4" w:space="0" w:color="auto"/>
              <w:left w:val="doub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color w:val="000000"/>
                <w:kern w:val="24"/>
                <w:lang w:val="sr-Latn-CS"/>
              </w:rPr>
            </w:pPr>
            <w:r>
              <w:rPr>
                <w:color w:val="000000"/>
                <w:kern w:val="24"/>
                <w:lang w:val="sr-Latn-CS"/>
              </w:rPr>
              <w:t>10</w:t>
            </w:r>
          </w:p>
        </w:tc>
        <w:tc>
          <w:tcPr>
            <w:tcW w:w="589"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color w:val="000000"/>
                <w:kern w:val="24"/>
                <w:lang w:val="sr-Latn-CS"/>
              </w:rPr>
            </w:pPr>
            <w:r>
              <w:rPr>
                <w:color w:val="000000"/>
                <w:kern w:val="24"/>
                <w:lang w:val="sr-Latn-CS"/>
              </w:rPr>
              <w:t>1,5</w:t>
            </w:r>
          </w:p>
        </w:tc>
        <w:tc>
          <w:tcPr>
            <w:tcW w:w="115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color w:val="000000"/>
                <w:kern w:val="24"/>
                <w:lang w:val="sr-Latn-CS"/>
              </w:rPr>
            </w:pPr>
            <w:r>
              <w:rPr>
                <w:color w:val="000000"/>
                <w:kern w:val="24"/>
                <w:lang w:val="sr-Latn-CS"/>
              </w:rPr>
              <w:t>0</w:t>
            </w:r>
          </w:p>
        </w:tc>
        <w:tc>
          <w:tcPr>
            <w:tcW w:w="863"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color w:val="000000"/>
                <w:kern w:val="24"/>
                <w:lang w:val="sr-Latn-CS"/>
              </w:rPr>
            </w:pPr>
            <w:r>
              <w:rPr>
                <w:color w:val="000000"/>
                <w:kern w:val="24"/>
                <w:lang w:val="sr-Latn-CS"/>
              </w:rPr>
              <w:t>1 M NaOH</w:t>
            </w:r>
          </w:p>
        </w:tc>
        <w:tc>
          <w:tcPr>
            <w:tcW w:w="615"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1</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25</w:t>
            </w:r>
          </w:p>
        </w:tc>
        <w:tc>
          <w:tcPr>
            <w:tcW w:w="684" w:type="pct"/>
            <w:tcBorders>
              <w:top w:val="single" w:sz="4" w:space="0" w:color="auto"/>
              <w:left w:val="single" w:sz="4" w:space="0" w:color="auto"/>
              <w:bottom w:val="single" w:sz="4" w:space="0" w:color="auto"/>
              <w:right w:val="doub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w:t>
            </w:r>
          </w:p>
        </w:tc>
      </w:tr>
      <w:tr w:rsidR="00B24895" w:rsidTr="003619FD">
        <w:trPr>
          <w:trHeight w:val="370"/>
        </w:trPr>
        <w:tc>
          <w:tcPr>
            <w:tcW w:w="457" w:type="pct"/>
            <w:tcBorders>
              <w:top w:val="single" w:sz="4" w:space="0" w:color="auto"/>
              <w:left w:val="doub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color w:val="000000"/>
                <w:kern w:val="24"/>
                <w:lang w:val="sr-Latn-CS"/>
              </w:rPr>
            </w:pPr>
            <w:r>
              <w:rPr>
                <w:color w:val="000000"/>
                <w:kern w:val="24"/>
                <w:lang w:val="sr-Latn-CS"/>
              </w:rPr>
              <w:t>11</w:t>
            </w:r>
          </w:p>
        </w:tc>
        <w:tc>
          <w:tcPr>
            <w:tcW w:w="589"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color w:val="000000"/>
                <w:kern w:val="24"/>
                <w:lang w:val="sr-Latn-CS"/>
              </w:rPr>
            </w:pPr>
            <w:r>
              <w:rPr>
                <w:color w:val="000000"/>
                <w:kern w:val="24"/>
                <w:lang w:val="sr-Latn-CS"/>
              </w:rPr>
              <w:t>2,5</w:t>
            </w:r>
          </w:p>
        </w:tc>
        <w:tc>
          <w:tcPr>
            <w:tcW w:w="115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color w:val="000000"/>
                <w:kern w:val="24"/>
                <w:lang w:val="sr-Latn-CS"/>
              </w:rPr>
            </w:pPr>
            <w:r>
              <w:rPr>
                <w:color w:val="000000"/>
                <w:kern w:val="24"/>
                <w:lang w:val="sr-Latn-CS"/>
              </w:rPr>
              <w:t>0</w:t>
            </w:r>
          </w:p>
        </w:tc>
        <w:tc>
          <w:tcPr>
            <w:tcW w:w="863"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color w:val="000000"/>
                <w:kern w:val="24"/>
                <w:lang w:val="sr-Latn-CS"/>
              </w:rPr>
            </w:pPr>
            <w:r>
              <w:rPr>
                <w:color w:val="000000"/>
                <w:kern w:val="24"/>
                <w:lang w:val="sr-Latn-CS"/>
              </w:rPr>
              <w:t>1 M NaOH</w:t>
            </w:r>
          </w:p>
        </w:tc>
        <w:tc>
          <w:tcPr>
            <w:tcW w:w="615"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1</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5</w:t>
            </w:r>
          </w:p>
        </w:tc>
        <w:tc>
          <w:tcPr>
            <w:tcW w:w="684" w:type="pct"/>
            <w:tcBorders>
              <w:top w:val="single" w:sz="4" w:space="0" w:color="auto"/>
              <w:left w:val="single" w:sz="4" w:space="0" w:color="auto"/>
              <w:bottom w:val="single" w:sz="4" w:space="0" w:color="auto"/>
              <w:right w:val="doub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w:t>
            </w:r>
          </w:p>
        </w:tc>
      </w:tr>
      <w:tr w:rsidR="00B24895" w:rsidTr="003619FD">
        <w:trPr>
          <w:trHeight w:val="370"/>
        </w:trPr>
        <w:tc>
          <w:tcPr>
            <w:tcW w:w="457" w:type="pct"/>
            <w:tcBorders>
              <w:top w:val="single" w:sz="4" w:space="0" w:color="auto"/>
              <w:left w:val="double" w:sz="4" w:space="0" w:color="auto"/>
              <w:bottom w:val="doub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color w:val="000000"/>
                <w:kern w:val="24"/>
                <w:lang w:val="sr-Latn-CS"/>
              </w:rPr>
            </w:pPr>
            <w:r>
              <w:rPr>
                <w:color w:val="000000"/>
                <w:kern w:val="24"/>
                <w:lang w:val="sr-Latn-CS"/>
              </w:rPr>
              <w:t>12</w:t>
            </w:r>
          </w:p>
        </w:tc>
        <w:tc>
          <w:tcPr>
            <w:tcW w:w="589" w:type="pct"/>
            <w:tcBorders>
              <w:top w:val="single" w:sz="4" w:space="0" w:color="auto"/>
              <w:left w:val="single" w:sz="4" w:space="0" w:color="auto"/>
              <w:bottom w:val="doub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color w:val="000000"/>
                <w:kern w:val="24"/>
                <w:lang w:val="sr-Latn-CS"/>
              </w:rPr>
            </w:pPr>
            <w:r>
              <w:rPr>
                <w:color w:val="000000"/>
                <w:kern w:val="24"/>
                <w:lang w:val="sr-Latn-CS"/>
              </w:rPr>
              <w:t>2,0</w:t>
            </w:r>
          </w:p>
        </w:tc>
        <w:tc>
          <w:tcPr>
            <w:tcW w:w="1156" w:type="pct"/>
            <w:tcBorders>
              <w:top w:val="single" w:sz="4" w:space="0" w:color="auto"/>
              <w:left w:val="single" w:sz="4" w:space="0" w:color="auto"/>
              <w:bottom w:val="doub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color w:val="000000"/>
                <w:kern w:val="24"/>
                <w:lang w:val="sr-Latn-CS"/>
              </w:rPr>
            </w:pPr>
            <w:r>
              <w:rPr>
                <w:color w:val="000000"/>
                <w:kern w:val="24"/>
                <w:lang w:val="sr-Latn-CS"/>
              </w:rPr>
              <w:t>0,25</w:t>
            </w:r>
          </w:p>
        </w:tc>
        <w:tc>
          <w:tcPr>
            <w:tcW w:w="863" w:type="pct"/>
            <w:tcBorders>
              <w:top w:val="single" w:sz="4" w:space="0" w:color="auto"/>
              <w:left w:val="single" w:sz="4" w:space="0" w:color="auto"/>
              <w:bottom w:val="doub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color w:val="000000"/>
                <w:kern w:val="24"/>
                <w:lang w:val="sr-Latn-CS"/>
              </w:rPr>
            </w:pPr>
            <w:r>
              <w:rPr>
                <w:color w:val="000000"/>
                <w:kern w:val="24"/>
                <w:lang w:val="sr-Latn-CS"/>
              </w:rPr>
              <w:t>0,5 M NaOH</w:t>
            </w:r>
          </w:p>
        </w:tc>
        <w:tc>
          <w:tcPr>
            <w:tcW w:w="615" w:type="pct"/>
            <w:tcBorders>
              <w:top w:val="single" w:sz="4" w:space="0" w:color="auto"/>
              <w:left w:val="single" w:sz="4" w:space="0" w:color="auto"/>
              <w:bottom w:val="doub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0,5</w:t>
            </w:r>
          </w:p>
        </w:tc>
        <w:tc>
          <w:tcPr>
            <w:tcW w:w="636" w:type="pct"/>
            <w:tcBorders>
              <w:top w:val="single" w:sz="4" w:space="0" w:color="auto"/>
              <w:left w:val="single" w:sz="4" w:space="0" w:color="auto"/>
              <w:bottom w:val="doub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15</w:t>
            </w:r>
          </w:p>
        </w:tc>
        <w:tc>
          <w:tcPr>
            <w:tcW w:w="684" w:type="pct"/>
            <w:tcBorders>
              <w:top w:val="single" w:sz="4" w:space="0" w:color="auto"/>
              <w:left w:val="single" w:sz="4" w:space="0" w:color="auto"/>
              <w:bottom w:val="double" w:sz="4" w:space="0" w:color="auto"/>
              <w:right w:val="doub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50</w:t>
            </w:r>
          </w:p>
        </w:tc>
      </w:tr>
    </w:tbl>
    <w:p w:rsidR="009A3188" w:rsidRDefault="009A3188" w:rsidP="00B24895">
      <w:pPr>
        <w:rPr>
          <w:lang w:val="sr-Latn-CS"/>
        </w:rPr>
      </w:pPr>
    </w:p>
    <w:p w:rsidR="009A3188" w:rsidRDefault="009A3188" w:rsidP="00B24895">
      <w:pPr>
        <w:rPr>
          <w:lang w:val="sr-Latn-CS"/>
        </w:rPr>
      </w:pPr>
    </w:p>
    <w:p w:rsidR="00B24895" w:rsidRDefault="00B24895" w:rsidP="00B24895">
      <w:pPr>
        <w:rPr>
          <w:lang w:val="sr-Latn-CS"/>
        </w:rPr>
      </w:pPr>
      <w:r>
        <w:rPr>
          <w:lang w:val="sr-Latn-CS"/>
        </w:rPr>
        <w:t>Tabela 5.3 Nastavak</w:t>
      </w:r>
    </w:p>
    <w:tbl>
      <w:tblPr>
        <w:tblW w:w="5000" w:type="pct"/>
        <w:tblBorders>
          <w:top w:val="double" w:sz="4" w:space="0" w:color="auto"/>
          <w:left w:val="double" w:sz="4" w:space="0" w:color="auto"/>
          <w:bottom w:val="double" w:sz="4" w:space="0" w:color="auto"/>
          <w:right w:val="double" w:sz="4" w:space="0" w:color="auto"/>
        </w:tblBorders>
        <w:tblCellMar>
          <w:left w:w="0" w:type="dxa"/>
          <w:right w:w="0" w:type="dxa"/>
        </w:tblCellMar>
        <w:tblLook w:val="04A0"/>
      </w:tblPr>
      <w:tblGrid>
        <w:gridCol w:w="875"/>
        <w:gridCol w:w="1128"/>
        <w:gridCol w:w="2214"/>
        <w:gridCol w:w="1653"/>
        <w:gridCol w:w="1178"/>
        <w:gridCol w:w="1218"/>
        <w:gridCol w:w="1310"/>
      </w:tblGrid>
      <w:tr w:rsidR="00B24895" w:rsidTr="003619FD">
        <w:trPr>
          <w:trHeight w:val="1007"/>
        </w:trPr>
        <w:tc>
          <w:tcPr>
            <w:tcW w:w="457" w:type="pct"/>
            <w:tcBorders>
              <w:top w:val="double" w:sz="4" w:space="0" w:color="auto"/>
              <w:bottom w:val="double" w:sz="4" w:space="0" w:color="auto"/>
              <w:right w:val="single" w:sz="4" w:space="0" w:color="auto"/>
            </w:tcBorders>
            <w:shd w:val="pct5" w:color="auto" w:fill="auto"/>
            <w:tcMar>
              <w:top w:w="15" w:type="dxa"/>
              <w:left w:w="108" w:type="dxa"/>
              <w:bottom w:w="0" w:type="dxa"/>
              <w:right w:w="108" w:type="dxa"/>
            </w:tcMar>
            <w:vAlign w:val="center"/>
          </w:tcPr>
          <w:p w:rsidR="00B24895" w:rsidRDefault="00B24895" w:rsidP="003619FD">
            <w:pPr>
              <w:jc w:val="center"/>
              <w:rPr>
                <w:b/>
                <w:lang w:val="sr-Latn-CS"/>
              </w:rPr>
            </w:pPr>
            <w:r>
              <w:rPr>
                <w:b/>
                <w:color w:val="000000"/>
                <w:kern w:val="24"/>
                <w:lang w:val="sr-Latn-CS"/>
              </w:rPr>
              <w:t>Eksp.</w:t>
            </w:r>
          </w:p>
        </w:tc>
        <w:tc>
          <w:tcPr>
            <w:tcW w:w="589" w:type="pct"/>
            <w:tcBorders>
              <w:top w:val="double" w:sz="4" w:space="0" w:color="auto"/>
              <w:left w:val="single" w:sz="4" w:space="0" w:color="auto"/>
              <w:bottom w:val="double" w:sz="4" w:space="0" w:color="auto"/>
              <w:right w:val="single" w:sz="4" w:space="0" w:color="auto"/>
            </w:tcBorders>
            <w:shd w:val="pct5" w:color="auto" w:fill="auto"/>
            <w:tcMar>
              <w:top w:w="15" w:type="dxa"/>
              <w:left w:w="108" w:type="dxa"/>
              <w:bottom w:w="0" w:type="dxa"/>
              <w:right w:w="108" w:type="dxa"/>
            </w:tcMar>
            <w:vAlign w:val="center"/>
          </w:tcPr>
          <w:p w:rsidR="00B24895" w:rsidRDefault="00B24895" w:rsidP="003619FD">
            <w:pPr>
              <w:jc w:val="center"/>
              <w:rPr>
                <w:b/>
                <w:lang w:val="sr-Latn-CS"/>
              </w:rPr>
            </w:pPr>
            <w:r>
              <w:rPr>
                <w:b/>
                <w:color w:val="000000"/>
                <w:kern w:val="24"/>
                <w:lang w:val="sr-Latn-CS"/>
              </w:rPr>
              <w:t>p(O</w:t>
            </w:r>
            <w:r>
              <w:rPr>
                <w:b/>
                <w:color w:val="000000"/>
                <w:kern w:val="24"/>
                <w:vertAlign w:val="subscript"/>
                <w:lang w:val="sr-Latn-CS"/>
              </w:rPr>
              <w:t>2</w:t>
            </w:r>
            <w:r>
              <w:rPr>
                <w:b/>
                <w:color w:val="000000"/>
                <w:kern w:val="24"/>
                <w:lang w:val="sr-Latn-CS"/>
              </w:rPr>
              <w:t>),</w:t>
            </w:r>
          </w:p>
          <w:p w:rsidR="00B24895" w:rsidRDefault="00B24895" w:rsidP="003619FD">
            <w:pPr>
              <w:jc w:val="center"/>
              <w:rPr>
                <w:b/>
                <w:lang w:val="sr-Latn-CS"/>
              </w:rPr>
            </w:pPr>
            <w:r>
              <w:rPr>
                <w:b/>
                <w:color w:val="000000"/>
                <w:kern w:val="24"/>
                <w:lang w:val="sr-Latn-CS"/>
              </w:rPr>
              <w:t>(MPa)</w:t>
            </w:r>
          </w:p>
        </w:tc>
        <w:tc>
          <w:tcPr>
            <w:tcW w:w="1156" w:type="pct"/>
            <w:tcBorders>
              <w:top w:val="double" w:sz="4" w:space="0" w:color="auto"/>
              <w:left w:val="single" w:sz="4" w:space="0" w:color="auto"/>
              <w:bottom w:val="double" w:sz="4" w:space="0" w:color="auto"/>
              <w:right w:val="single" w:sz="4" w:space="0" w:color="auto"/>
            </w:tcBorders>
            <w:shd w:val="pct5" w:color="auto" w:fill="auto"/>
            <w:tcMar>
              <w:top w:w="15" w:type="dxa"/>
              <w:left w:w="108" w:type="dxa"/>
              <w:bottom w:w="0" w:type="dxa"/>
              <w:right w:w="108" w:type="dxa"/>
            </w:tcMar>
            <w:vAlign w:val="center"/>
          </w:tcPr>
          <w:p w:rsidR="00B24895" w:rsidRDefault="00B24895" w:rsidP="003619FD">
            <w:pPr>
              <w:jc w:val="center"/>
              <w:rPr>
                <w:b/>
                <w:lang w:val="sr-Latn-CS"/>
              </w:rPr>
            </w:pPr>
            <w:r>
              <w:rPr>
                <w:b/>
                <w:i/>
                <w:lang w:val="sr-Latn-CS"/>
              </w:rPr>
              <w:t>m</w:t>
            </w:r>
            <w:r>
              <w:rPr>
                <w:b/>
                <w:lang w:val="sr-Latn-CS"/>
              </w:rPr>
              <w:t>(V</w:t>
            </w:r>
            <w:r>
              <w:rPr>
                <w:b/>
                <w:vertAlign w:val="subscript"/>
                <w:lang w:val="sr-Latn-CS"/>
              </w:rPr>
              <w:t>2</w:t>
            </w:r>
            <w:r>
              <w:rPr>
                <w:b/>
                <w:lang w:val="sr-Latn-CS"/>
              </w:rPr>
              <w:t>O</w:t>
            </w:r>
            <w:r>
              <w:rPr>
                <w:b/>
                <w:vertAlign w:val="subscript"/>
                <w:lang w:val="sr-Latn-CS"/>
              </w:rPr>
              <w:t>5</w:t>
            </w:r>
            <w:r>
              <w:rPr>
                <w:b/>
                <w:lang w:val="sr-Latn-CS"/>
              </w:rPr>
              <w:t>)/</w:t>
            </w:r>
            <w:r>
              <w:rPr>
                <w:b/>
                <w:i/>
                <w:lang w:val="sr-Latn-CS"/>
              </w:rPr>
              <w:t>m</w:t>
            </w:r>
            <w:r>
              <w:rPr>
                <w:b/>
                <w:lang w:val="sr-Latn-CS"/>
              </w:rPr>
              <w:t>(uglja)</w:t>
            </w:r>
          </w:p>
        </w:tc>
        <w:tc>
          <w:tcPr>
            <w:tcW w:w="863" w:type="pct"/>
            <w:tcBorders>
              <w:top w:val="double" w:sz="4" w:space="0" w:color="auto"/>
              <w:left w:val="single" w:sz="4" w:space="0" w:color="auto"/>
              <w:bottom w:val="double" w:sz="4" w:space="0" w:color="auto"/>
              <w:right w:val="single" w:sz="4" w:space="0" w:color="auto"/>
            </w:tcBorders>
            <w:shd w:val="pct5" w:color="auto" w:fill="auto"/>
            <w:tcMar>
              <w:top w:w="15" w:type="dxa"/>
              <w:left w:w="108" w:type="dxa"/>
              <w:bottom w:w="0" w:type="dxa"/>
              <w:right w:w="108" w:type="dxa"/>
            </w:tcMar>
            <w:vAlign w:val="center"/>
          </w:tcPr>
          <w:p w:rsidR="00B24895" w:rsidRDefault="00B24895" w:rsidP="003619FD">
            <w:pPr>
              <w:jc w:val="center"/>
              <w:rPr>
                <w:b/>
                <w:lang w:val="sr-Latn-CS"/>
              </w:rPr>
            </w:pPr>
            <w:r>
              <w:rPr>
                <w:b/>
                <w:color w:val="000000"/>
                <w:kern w:val="24"/>
                <w:lang w:val="sr-Latn-CS"/>
              </w:rPr>
              <w:t>Absorpcioni rastvor</w:t>
            </w:r>
          </w:p>
        </w:tc>
        <w:tc>
          <w:tcPr>
            <w:tcW w:w="615" w:type="pct"/>
            <w:tcBorders>
              <w:top w:val="double" w:sz="4" w:space="0" w:color="auto"/>
              <w:left w:val="single" w:sz="4" w:space="0" w:color="auto"/>
              <w:bottom w:val="double" w:sz="4" w:space="0" w:color="auto"/>
              <w:right w:val="single" w:sz="4" w:space="0" w:color="auto"/>
            </w:tcBorders>
            <w:shd w:val="pct5" w:color="auto" w:fill="auto"/>
            <w:tcMar>
              <w:top w:w="15" w:type="dxa"/>
              <w:left w:w="108" w:type="dxa"/>
              <w:bottom w:w="0" w:type="dxa"/>
              <w:right w:w="108" w:type="dxa"/>
            </w:tcMar>
            <w:vAlign w:val="center"/>
          </w:tcPr>
          <w:p w:rsidR="00B24895" w:rsidRDefault="00B24895" w:rsidP="003619FD">
            <w:pPr>
              <w:jc w:val="center"/>
              <w:rPr>
                <w:b/>
                <w:vertAlign w:val="subscript"/>
                <w:lang w:val="sr-Latn-CS"/>
              </w:rPr>
            </w:pPr>
            <w:r>
              <w:rPr>
                <w:b/>
                <w:lang w:val="sr-Latn-CS"/>
              </w:rPr>
              <w:t>H</w:t>
            </w:r>
            <w:r>
              <w:rPr>
                <w:b/>
                <w:vertAlign w:val="subscript"/>
                <w:lang w:val="sr-Latn-CS"/>
              </w:rPr>
              <w:t>2</w:t>
            </w:r>
            <w:r>
              <w:rPr>
                <w:b/>
                <w:lang w:val="sr-Latn-CS"/>
              </w:rPr>
              <w:t>O</w:t>
            </w:r>
            <w:r>
              <w:rPr>
                <w:b/>
                <w:vertAlign w:val="subscript"/>
                <w:lang w:val="sr-Latn-CS"/>
              </w:rPr>
              <w:t>2</w:t>
            </w:r>
          </w:p>
          <w:p w:rsidR="00B24895" w:rsidRDefault="00B24895" w:rsidP="003619FD">
            <w:pPr>
              <w:jc w:val="center"/>
              <w:rPr>
                <w:b/>
                <w:lang w:val="sr-Latn-CS"/>
              </w:rPr>
            </w:pPr>
            <w:r>
              <w:rPr>
                <w:b/>
                <w:lang w:val="sr-Latn-CS"/>
              </w:rPr>
              <w:t>(w, %)</w:t>
            </w:r>
          </w:p>
        </w:tc>
        <w:tc>
          <w:tcPr>
            <w:tcW w:w="636" w:type="pct"/>
            <w:tcBorders>
              <w:top w:val="double" w:sz="4" w:space="0" w:color="auto"/>
              <w:left w:val="single" w:sz="4" w:space="0" w:color="auto"/>
              <w:bottom w:val="double" w:sz="4" w:space="0" w:color="auto"/>
              <w:right w:val="single" w:sz="4" w:space="0" w:color="auto"/>
            </w:tcBorders>
            <w:shd w:val="pct5" w:color="auto" w:fill="auto"/>
            <w:tcMar>
              <w:top w:w="15" w:type="dxa"/>
              <w:left w:w="108" w:type="dxa"/>
              <w:bottom w:w="0" w:type="dxa"/>
              <w:right w:w="108" w:type="dxa"/>
            </w:tcMar>
            <w:vAlign w:val="center"/>
          </w:tcPr>
          <w:p w:rsidR="00B24895" w:rsidRDefault="00B24895" w:rsidP="003619FD">
            <w:pPr>
              <w:jc w:val="center"/>
              <w:rPr>
                <w:b/>
                <w:lang w:val="sr-Latn-CS"/>
              </w:rPr>
            </w:pPr>
            <w:r>
              <w:rPr>
                <w:b/>
                <w:lang w:val="sr-Latn-CS"/>
              </w:rPr>
              <w:t>Vreme hlađenja</w:t>
            </w:r>
          </w:p>
          <w:p w:rsidR="00B24895" w:rsidRDefault="00B24895" w:rsidP="003619FD">
            <w:pPr>
              <w:jc w:val="center"/>
              <w:rPr>
                <w:b/>
                <w:lang w:val="sr-Latn-CS"/>
              </w:rPr>
            </w:pPr>
            <w:r>
              <w:rPr>
                <w:b/>
                <w:lang w:val="sr-Latn-CS"/>
              </w:rPr>
              <w:t>(min)</w:t>
            </w:r>
          </w:p>
        </w:tc>
        <w:tc>
          <w:tcPr>
            <w:tcW w:w="684" w:type="pct"/>
            <w:tcBorders>
              <w:top w:val="double" w:sz="4" w:space="0" w:color="auto"/>
              <w:left w:val="single" w:sz="4" w:space="0" w:color="auto"/>
              <w:bottom w:val="double" w:sz="4" w:space="0" w:color="auto"/>
            </w:tcBorders>
            <w:shd w:val="pct5" w:color="auto" w:fill="auto"/>
            <w:tcMar>
              <w:top w:w="15" w:type="dxa"/>
              <w:left w:w="108" w:type="dxa"/>
              <w:bottom w:w="0" w:type="dxa"/>
              <w:right w:w="108" w:type="dxa"/>
            </w:tcMar>
            <w:vAlign w:val="center"/>
          </w:tcPr>
          <w:p w:rsidR="00B24895" w:rsidRDefault="00B24895" w:rsidP="003619FD">
            <w:pPr>
              <w:jc w:val="center"/>
              <w:rPr>
                <w:b/>
                <w:i/>
                <w:lang w:val="sr-Latn-CS"/>
              </w:rPr>
            </w:pPr>
            <w:r>
              <w:rPr>
                <w:b/>
                <w:lang w:val="sr-Latn-CS"/>
              </w:rPr>
              <w:t>Pomoćno gorivo</w:t>
            </w:r>
          </w:p>
          <w:p w:rsidR="00B24895" w:rsidRDefault="00B24895" w:rsidP="003619FD">
            <w:pPr>
              <w:jc w:val="center"/>
              <w:rPr>
                <w:b/>
                <w:lang w:val="sr-Latn-CS"/>
              </w:rPr>
            </w:pPr>
            <w:r>
              <w:rPr>
                <w:b/>
                <w:lang w:val="sr-Latn-CS"/>
              </w:rPr>
              <w:t>(µL)</w:t>
            </w:r>
          </w:p>
        </w:tc>
      </w:tr>
      <w:tr w:rsidR="00B24895" w:rsidTr="003619FD">
        <w:trPr>
          <w:trHeight w:val="370"/>
        </w:trPr>
        <w:tc>
          <w:tcPr>
            <w:tcW w:w="457" w:type="pct"/>
            <w:tcBorders>
              <w:top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13</w:t>
            </w:r>
          </w:p>
        </w:tc>
        <w:tc>
          <w:tcPr>
            <w:tcW w:w="589"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1,5</w:t>
            </w:r>
          </w:p>
        </w:tc>
        <w:tc>
          <w:tcPr>
            <w:tcW w:w="115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0</w:t>
            </w:r>
          </w:p>
        </w:tc>
        <w:tc>
          <w:tcPr>
            <w:tcW w:w="863"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H</w:t>
            </w:r>
            <w:r>
              <w:rPr>
                <w:color w:val="000000"/>
                <w:kern w:val="24"/>
                <w:vertAlign w:val="subscript"/>
                <w:lang w:val="sr-Latn-CS"/>
              </w:rPr>
              <w:t>2</w:t>
            </w:r>
            <w:r>
              <w:rPr>
                <w:color w:val="000000"/>
                <w:kern w:val="24"/>
                <w:lang w:val="sr-Latn-CS"/>
              </w:rPr>
              <w:t>O</w:t>
            </w:r>
          </w:p>
        </w:tc>
        <w:tc>
          <w:tcPr>
            <w:tcW w:w="615"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1</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5</w:t>
            </w:r>
          </w:p>
        </w:tc>
        <w:tc>
          <w:tcPr>
            <w:tcW w:w="684" w:type="pct"/>
            <w:tcBorders>
              <w:top w:val="single" w:sz="4" w:space="0" w:color="auto"/>
              <w:left w:val="single" w:sz="4" w:space="0" w:color="auto"/>
              <w:bottom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100</w:t>
            </w:r>
          </w:p>
        </w:tc>
      </w:tr>
      <w:tr w:rsidR="00B24895" w:rsidTr="003619FD">
        <w:trPr>
          <w:trHeight w:val="370"/>
        </w:trPr>
        <w:tc>
          <w:tcPr>
            <w:tcW w:w="457" w:type="pct"/>
            <w:tcBorders>
              <w:top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14</w:t>
            </w:r>
          </w:p>
        </w:tc>
        <w:tc>
          <w:tcPr>
            <w:tcW w:w="589"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2,0</w:t>
            </w:r>
          </w:p>
        </w:tc>
        <w:tc>
          <w:tcPr>
            <w:tcW w:w="115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0,25</w:t>
            </w:r>
          </w:p>
        </w:tc>
        <w:tc>
          <w:tcPr>
            <w:tcW w:w="863"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 xml:space="preserve">0,5 </w:t>
            </w:r>
            <w:r>
              <w:rPr>
                <w:lang w:val="sr-Latn-CS"/>
              </w:rPr>
              <w:t>M</w:t>
            </w:r>
            <w:r>
              <w:rPr>
                <w:color w:val="000000"/>
                <w:kern w:val="24"/>
                <w:lang w:val="sr-Latn-CS"/>
              </w:rPr>
              <w:t xml:space="preserve"> NaOH</w:t>
            </w:r>
          </w:p>
        </w:tc>
        <w:tc>
          <w:tcPr>
            <w:tcW w:w="615"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0,5</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15</w:t>
            </w:r>
          </w:p>
        </w:tc>
        <w:tc>
          <w:tcPr>
            <w:tcW w:w="684" w:type="pct"/>
            <w:tcBorders>
              <w:top w:val="single" w:sz="4" w:space="0" w:color="auto"/>
              <w:left w:val="single" w:sz="4" w:space="0" w:color="auto"/>
              <w:bottom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50</w:t>
            </w:r>
          </w:p>
        </w:tc>
      </w:tr>
      <w:tr w:rsidR="00B24895" w:rsidTr="003619FD">
        <w:trPr>
          <w:trHeight w:val="370"/>
        </w:trPr>
        <w:tc>
          <w:tcPr>
            <w:tcW w:w="457" w:type="pct"/>
            <w:tcBorders>
              <w:top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15</w:t>
            </w:r>
          </w:p>
        </w:tc>
        <w:tc>
          <w:tcPr>
            <w:tcW w:w="589"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2,5</w:t>
            </w:r>
          </w:p>
        </w:tc>
        <w:tc>
          <w:tcPr>
            <w:tcW w:w="115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0,5</w:t>
            </w:r>
          </w:p>
        </w:tc>
        <w:tc>
          <w:tcPr>
            <w:tcW w:w="863"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 xml:space="preserve">1 </w:t>
            </w:r>
            <w:r>
              <w:rPr>
                <w:lang w:val="sr-Latn-CS"/>
              </w:rPr>
              <w:t>M</w:t>
            </w:r>
            <w:r>
              <w:rPr>
                <w:color w:val="000000"/>
                <w:kern w:val="24"/>
                <w:lang w:val="sr-Latn-CS"/>
              </w:rPr>
              <w:t xml:space="preserve"> NaOH</w:t>
            </w:r>
          </w:p>
        </w:tc>
        <w:tc>
          <w:tcPr>
            <w:tcW w:w="615"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25</w:t>
            </w:r>
          </w:p>
        </w:tc>
        <w:tc>
          <w:tcPr>
            <w:tcW w:w="684" w:type="pct"/>
            <w:tcBorders>
              <w:top w:val="single" w:sz="4" w:space="0" w:color="auto"/>
              <w:left w:val="single" w:sz="4" w:space="0" w:color="auto"/>
              <w:bottom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w:t>
            </w:r>
          </w:p>
        </w:tc>
      </w:tr>
      <w:tr w:rsidR="00B24895" w:rsidTr="003619FD">
        <w:trPr>
          <w:trHeight w:val="370"/>
        </w:trPr>
        <w:tc>
          <w:tcPr>
            <w:tcW w:w="457" w:type="pct"/>
            <w:tcBorders>
              <w:top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16</w:t>
            </w:r>
          </w:p>
        </w:tc>
        <w:tc>
          <w:tcPr>
            <w:tcW w:w="589"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2,5</w:t>
            </w:r>
          </w:p>
        </w:tc>
        <w:tc>
          <w:tcPr>
            <w:tcW w:w="115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w:t>
            </w:r>
          </w:p>
        </w:tc>
        <w:tc>
          <w:tcPr>
            <w:tcW w:w="863"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H</w:t>
            </w:r>
            <w:r>
              <w:rPr>
                <w:color w:val="000000"/>
                <w:kern w:val="24"/>
                <w:vertAlign w:val="subscript"/>
                <w:lang w:val="sr-Latn-CS"/>
              </w:rPr>
              <w:t>2</w:t>
            </w:r>
            <w:r>
              <w:rPr>
                <w:color w:val="000000"/>
                <w:kern w:val="24"/>
                <w:lang w:val="sr-Latn-CS"/>
              </w:rPr>
              <w:t>O</w:t>
            </w:r>
          </w:p>
        </w:tc>
        <w:tc>
          <w:tcPr>
            <w:tcW w:w="615"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25</w:t>
            </w:r>
          </w:p>
        </w:tc>
        <w:tc>
          <w:tcPr>
            <w:tcW w:w="684" w:type="pct"/>
            <w:tcBorders>
              <w:top w:val="single" w:sz="4" w:space="0" w:color="auto"/>
              <w:left w:val="single" w:sz="4" w:space="0" w:color="auto"/>
              <w:bottom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w:t>
            </w:r>
          </w:p>
        </w:tc>
      </w:tr>
      <w:tr w:rsidR="00B24895" w:rsidTr="003619FD">
        <w:trPr>
          <w:trHeight w:val="370"/>
        </w:trPr>
        <w:tc>
          <w:tcPr>
            <w:tcW w:w="457" w:type="pct"/>
            <w:tcBorders>
              <w:top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17</w:t>
            </w:r>
          </w:p>
        </w:tc>
        <w:tc>
          <w:tcPr>
            <w:tcW w:w="589"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1,5</w:t>
            </w:r>
          </w:p>
        </w:tc>
        <w:tc>
          <w:tcPr>
            <w:tcW w:w="115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0,5</w:t>
            </w:r>
          </w:p>
        </w:tc>
        <w:tc>
          <w:tcPr>
            <w:tcW w:w="863"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H</w:t>
            </w:r>
            <w:r>
              <w:rPr>
                <w:color w:val="000000"/>
                <w:kern w:val="24"/>
                <w:vertAlign w:val="subscript"/>
                <w:lang w:val="sr-Latn-CS"/>
              </w:rPr>
              <w:t>2</w:t>
            </w:r>
            <w:r>
              <w:rPr>
                <w:color w:val="000000"/>
                <w:kern w:val="24"/>
                <w:lang w:val="sr-Latn-CS"/>
              </w:rPr>
              <w:t>O</w:t>
            </w:r>
          </w:p>
        </w:tc>
        <w:tc>
          <w:tcPr>
            <w:tcW w:w="615"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25</w:t>
            </w:r>
          </w:p>
        </w:tc>
        <w:tc>
          <w:tcPr>
            <w:tcW w:w="684" w:type="pct"/>
            <w:tcBorders>
              <w:top w:val="single" w:sz="4" w:space="0" w:color="auto"/>
              <w:left w:val="single" w:sz="4" w:space="0" w:color="auto"/>
              <w:bottom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100</w:t>
            </w:r>
          </w:p>
        </w:tc>
      </w:tr>
      <w:tr w:rsidR="00B24895" w:rsidTr="003619FD">
        <w:trPr>
          <w:trHeight w:val="370"/>
        </w:trPr>
        <w:tc>
          <w:tcPr>
            <w:tcW w:w="457" w:type="pct"/>
            <w:tcBorders>
              <w:top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18</w:t>
            </w:r>
          </w:p>
        </w:tc>
        <w:tc>
          <w:tcPr>
            <w:tcW w:w="589"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2,0</w:t>
            </w:r>
          </w:p>
        </w:tc>
        <w:tc>
          <w:tcPr>
            <w:tcW w:w="115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0,25</w:t>
            </w:r>
          </w:p>
        </w:tc>
        <w:tc>
          <w:tcPr>
            <w:tcW w:w="863"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 xml:space="preserve">0,5 </w:t>
            </w:r>
            <w:r>
              <w:rPr>
                <w:lang w:val="sr-Latn-CS"/>
              </w:rPr>
              <w:t>M</w:t>
            </w:r>
            <w:r>
              <w:rPr>
                <w:color w:val="000000"/>
                <w:kern w:val="24"/>
                <w:lang w:val="sr-Latn-CS"/>
              </w:rPr>
              <w:t xml:space="preserve"> NaOH</w:t>
            </w:r>
          </w:p>
        </w:tc>
        <w:tc>
          <w:tcPr>
            <w:tcW w:w="615"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0,5</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15</w:t>
            </w:r>
          </w:p>
        </w:tc>
        <w:tc>
          <w:tcPr>
            <w:tcW w:w="684" w:type="pct"/>
            <w:tcBorders>
              <w:top w:val="single" w:sz="4" w:space="0" w:color="auto"/>
              <w:left w:val="single" w:sz="4" w:space="0" w:color="auto"/>
              <w:bottom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50</w:t>
            </w:r>
          </w:p>
        </w:tc>
      </w:tr>
      <w:tr w:rsidR="00B24895" w:rsidTr="003619FD">
        <w:trPr>
          <w:trHeight w:val="370"/>
        </w:trPr>
        <w:tc>
          <w:tcPr>
            <w:tcW w:w="457" w:type="pct"/>
            <w:tcBorders>
              <w:top w:val="single" w:sz="4" w:space="0" w:color="auto"/>
              <w:bottom w:val="doub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19</w:t>
            </w:r>
          </w:p>
        </w:tc>
        <w:tc>
          <w:tcPr>
            <w:tcW w:w="589" w:type="pct"/>
            <w:tcBorders>
              <w:top w:val="single" w:sz="4" w:space="0" w:color="auto"/>
              <w:left w:val="single" w:sz="4" w:space="0" w:color="auto"/>
              <w:bottom w:val="doub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2,5</w:t>
            </w:r>
          </w:p>
        </w:tc>
        <w:tc>
          <w:tcPr>
            <w:tcW w:w="1156" w:type="pct"/>
            <w:tcBorders>
              <w:top w:val="single" w:sz="4" w:space="0" w:color="auto"/>
              <w:left w:val="single" w:sz="4" w:space="0" w:color="auto"/>
              <w:bottom w:val="doub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0</w:t>
            </w:r>
          </w:p>
        </w:tc>
        <w:tc>
          <w:tcPr>
            <w:tcW w:w="863" w:type="pct"/>
            <w:tcBorders>
              <w:top w:val="single" w:sz="4" w:space="0" w:color="auto"/>
              <w:left w:val="single" w:sz="4" w:space="0" w:color="auto"/>
              <w:bottom w:val="doub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color w:val="000000"/>
                <w:kern w:val="24"/>
                <w:lang w:val="sr-Latn-CS"/>
              </w:rPr>
              <w:t>H</w:t>
            </w:r>
            <w:r>
              <w:rPr>
                <w:color w:val="000000"/>
                <w:kern w:val="24"/>
                <w:vertAlign w:val="subscript"/>
                <w:lang w:val="sr-Latn-CS"/>
              </w:rPr>
              <w:t>2</w:t>
            </w:r>
            <w:r>
              <w:rPr>
                <w:color w:val="000000"/>
                <w:kern w:val="24"/>
                <w:lang w:val="sr-Latn-CS"/>
              </w:rPr>
              <w:t>O</w:t>
            </w:r>
          </w:p>
        </w:tc>
        <w:tc>
          <w:tcPr>
            <w:tcW w:w="615" w:type="pct"/>
            <w:tcBorders>
              <w:top w:val="single" w:sz="4" w:space="0" w:color="auto"/>
              <w:left w:val="single" w:sz="4" w:space="0" w:color="auto"/>
              <w:bottom w:val="doub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1</w:t>
            </w:r>
          </w:p>
        </w:tc>
        <w:tc>
          <w:tcPr>
            <w:tcW w:w="636" w:type="pct"/>
            <w:tcBorders>
              <w:top w:val="single" w:sz="4" w:space="0" w:color="auto"/>
              <w:left w:val="single" w:sz="4" w:space="0" w:color="auto"/>
              <w:bottom w:val="double" w:sz="4" w:space="0" w:color="auto"/>
              <w:right w:val="sing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25</w:t>
            </w:r>
          </w:p>
        </w:tc>
        <w:tc>
          <w:tcPr>
            <w:tcW w:w="684" w:type="pct"/>
            <w:tcBorders>
              <w:top w:val="single" w:sz="4" w:space="0" w:color="auto"/>
              <w:left w:val="single" w:sz="4" w:space="0" w:color="auto"/>
              <w:bottom w:val="double" w:sz="4" w:space="0" w:color="auto"/>
            </w:tcBorders>
            <w:shd w:val="clear" w:color="auto" w:fill="auto"/>
            <w:tcMar>
              <w:top w:w="15" w:type="dxa"/>
              <w:left w:w="108" w:type="dxa"/>
              <w:bottom w:w="0" w:type="dxa"/>
              <w:right w:w="108" w:type="dxa"/>
            </w:tcMar>
            <w:vAlign w:val="center"/>
          </w:tcPr>
          <w:p w:rsidR="00B24895" w:rsidRDefault="00B24895" w:rsidP="003619FD">
            <w:pPr>
              <w:jc w:val="center"/>
              <w:rPr>
                <w:lang w:val="sr-Latn-CS"/>
              </w:rPr>
            </w:pPr>
            <w:r>
              <w:rPr>
                <w:lang w:val="sr-Latn-CS"/>
              </w:rPr>
              <w:t>100</w:t>
            </w:r>
          </w:p>
        </w:tc>
      </w:tr>
    </w:tbl>
    <w:p w:rsidR="00B24895" w:rsidRDefault="00B24895" w:rsidP="00B24895">
      <w:pPr>
        <w:rPr>
          <w:lang w:val="sr-Latn-CS"/>
        </w:rPr>
      </w:pPr>
    </w:p>
    <w:p w:rsidR="00B24895" w:rsidRPr="00E6742A" w:rsidRDefault="00B24895" w:rsidP="00B24895">
      <w:pPr>
        <w:rPr>
          <w:b/>
          <w:lang w:val="sr-Latn-CS"/>
        </w:rPr>
      </w:pPr>
      <w:r w:rsidRPr="00E6742A">
        <w:rPr>
          <w:b/>
          <w:lang w:val="sr-Latn-CS"/>
        </w:rPr>
        <w:t xml:space="preserve">Na ovaj način određene su vrednosti parametara za svaki od devetnaest eksperimenata. Cilj ovih eksperimenata je utvrditi uticaj izabranih parametara i selektovati one parametre koji najviše utiču na sagorevanje uglja u kiseoničnoj bombi. </w:t>
      </w:r>
    </w:p>
    <w:p w:rsidR="00B24895" w:rsidRDefault="00B24895" w:rsidP="00B24895">
      <w:pPr>
        <w:rPr>
          <w:lang w:val="sr-Latn-CS"/>
        </w:rPr>
      </w:pPr>
    </w:p>
    <w:p w:rsidR="00933302" w:rsidRDefault="00933302"/>
    <w:sectPr w:rsidR="00933302" w:rsidSect="0093330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0422" w:rsidRDefault="00410422" w:rsidP="00B24895">
      <w:pPr>
        <w:spacing w:line="240" w:lineRule="auto"/>
      </w:pPr>
      <w:r>
        <w:separator/>
      </w:r>
    </w:p>
  </w:endnote>
  <w:endnote w:type="continuationSeparator" w:id="1">
    <w:p w:rsidR="00410422" w:rsidRDefault="00410422" w:rsidP="00B24895">
      <w:pPr>
        <w:spacing w:line="240" w:lineRule="auto"/>
      </w:pPr>
      <w:r>
        <w:continuationSeparator/>
      </w:r>
    </w:p>
  </w:endnote>
  <w:endnote w:id="2">
    <w:p w:rsidR="00B24895" w:rsidRDefault="00B24895" w:rsidP="00B24895">
      <w:pPr>
        <w:pStyle w:val="EndnoteText"/>
        <w:ind w:left="426" w:hanging="426"/>
        <w:rPr>
          <w:sz w:val="24"/>
          <w:szCs w:val="24"/>
          <w:lang w:val="sr-Latn-CS"/>
        </w:rPr>
      </w:pPr>
      <w:r>
        <w:rPr>
          <w:rStyle w:val="EndnoteReference"/>
          <w:sz w:val="24"/>
          <w:szCs w:val="24"/>
          <w:lang w:val="sr-Latn-CS"/>
        </w:rPr>
        <w:endnoteRef/>
      </w:r>
      <w:r>
        <w:rPr>
          <w:sz w:val="24"/>
          <w:szCs w:val="24"/>
          <w:lang w:val="sr-Latn-CS"/>
        </w:rPr>
        <w:t xml:space="preserve">. </w:t>
      </w:r>
      <w:r>
        <w:rPr>
          <w:bCs/>
          <w:sz w:val="24"/>
          <w:szCs w:val="24"/>
          <w:lang w:val="sr-Latn-CS"/>
        </w:rPr>
        <w:t>S. Deming, Experimental design: a chemometric approach, Elsevier Sci. Publishing Company Inc., New York (1987)</w:t>
      </w:r>
    </w:p>
  </w:endnote>
  <w:endnote w:id="3">
    <w:p w:rsidR="00B24895" w:rsidRDefault="00B24895" w:rsidP="00B24895">
      <w:pPr>
        <w:pStyle w:val="EndnoteText"/>
        <w:ind w:left="426" w:hanging="426"/>
        <w:rPr>
          <w:sz w:val="24"/>
          <w:szCs w:val="24"/>
          <w:lang w:val="sr-Latn-CS"/>
        </w:rPr>
      </w:pPr>
      <w:r>
        <w:rPr>
          <w:rStyle w:val="EndnoteReference"/>
          <w:sz w:val="24"/>
          <w:szCs w:val="24"/>
          <w:lang w:val="sr-Latn-CS"/>
        </w:rPr>
        <w:endnoteRef/>
      </w:r>
      <w:r>
        <w:rPr>
          <w:sz w:val="24"/>
          <w:szCs w:val="24"/>
          <w:lang w:val="sr-Latn-CS"/>
        </w:rPr>
        <w:t xml:space="preserve">. </w:t>
      </w:r>
      <w:r>
        <w:rPr>
          <w:bCs/>
          <w:sz w:val="24"/>
          <w:szCs w:val="24"/>
          <w:lang w:val="sr-Latn-CS"/>
        </w:rPr>
        <w:t>R. A. Fisher, The design of experiments, Oliver and Boyd, 4</w:t>
      </w:r>
      <w:r>
        <w:rPr>
          <w:bCs/>
          <w:sz w:val="24"/>
          <w:szCs w:val="24"/>
          <w:vertAlign w:val="superscript"/>
          <w:lang w:val="sr-Latn-CS"/>
        </w:rPr>
        <w:t>th</w:t>
      </w:r>
      <w:r>
        <w:rPr>
          <w:bCs/>
          <w:sz w:val="24"/>
          <w:szCs w:val="24"/>
          <w:lang w:val="sr-Latn-CS"/>
        </w:rPr>
        <w:t xml:space="preserve"> ed., Edinburg (1947)</w:t>
      </w:r>
    </w:p>
  </w:endnote>
  <w:endnote w:id="4">
    <w:p w:rsidR="00B24895" w:rsidRDefault="00B24895" w:rsidP="00B24895">
      <w:pPr>
        <w:pStyle w:val="EndnoteText"/>
        <w:ind w:left="426" w:hanging="426"/>
        <w:rPr>
          <w:sz w:val="24"/>
          <w:szCs w:val="24"/>
          <w:lang w:val="sr-Latn-CS"/>
        </w:rPr>
      </w:pPr>
      <w:r>
        <w:rPr>
          <w:rStyle w:val="EndnoteReference"/>
          <w:sz w:val="24"/>
          <w:szCs w:val="24"/>
          <w:lang w:val="sr-Latn-CS"/>
        </w:rPr>
        <w:endnoteRef/>
      </w:r>
      <w:r>
        <w:rPr>
          <w:sz w:val="24"/>
          <w:szCs w:val="24"/>
          <w:lang w:val="sr-Latn-CS"/>
        </w:rPr>
        <w:t xml:space="preserve">. </w:t>
      </w:r>
      <w:r>
        <w:rPr>
          <w:iCs/>
          <w:color w:val="000000"/>
          <w:sz w:val="24"/>
          <w:szCs w:val="24"/>
          <w:lang w:val="sr-Latn-CS"/>
        </w:rPr>
        <w:t>D. L. Massart (Editor in Chief), Handbook of Chemometrics and Qualimetrics, Elsevier, Amsterdam, (1997)</w:t>
      </w:r>
    </w:p>
  </w:endnote>
  <w:endnote w:id="5">
    <w:p w:rsidR="00B24895" w:rsidRDefault="00B24895" w:rsidP="00B24895">
      <w:pPr>
        <w:autoSpaceDE w:val="0"/>
        <w:autoSpaceDN w:val="0"/>
        <w:adjustRightInd w:val="0"/>
        <w:ind w:left="426" w:hanging="426"/>
        <w:rPr>
          <w:lang w:val="sr-Latn-CS"/>
        </w:rPr>
      </w:pPr>
      <w:r>
        <w:rPr>
          <w:rStyle w:val="EndnoteReference"/>
          <w:lang w:val="sr-Latn-CS"/>
        </w:rPr>
        <w:endnoteRef/>
      </w:r>
      <w:r>
        <w:rPr>
          <w:lang w:val="sr-Latn-CS"/>
        </w:rPr>
        <w:t>. G. E. P. Box, W. G. Hunter, J. S. Hunter, Statistics for Experimenters</w:t>
      </w:r>
      <w:r>
        <w:rPr>
          <w:iCs/>
          <w:lang w:val="sr-Latn-CS"/>
        </w:rPr>
        <w:t>: An Introduction to Design, Data Analysis, and Model Building</w:t>
      </w:r>
      <w:r>
        <w:rPr>
          <w:lang w:val="sr-Latn-CS"/>
        </w:rPr>
        <w:t xml:space="preserve">, John Wiley and Sons., New York, (1978) </w:t>
      </w:r>
    </w:p>
  </w:endnote>
  <w:endnote w:id="6">
    <w:p w:rsidR="00B24895" w:rsidRDefault="00B24895" w:rsidP="00B24895">
      <w:pPr>
        <w:pStyle w:val="EndnoteText"/>
        <w:ind w:left="426" w:hanging="426"/>
        <w:rPr>
          <w:sz w:val="24"/>
          <w:szCs w:val="24"/>
          <w:lang w:val="sr-Latn-CS"/>
        </w:rPr>
      </w:pPr>
      <w:r>
        <w:rPr>
          <w:rStyle w:val="EndnoteReference"/>
          <w:sz w:val="24"/>
          <w:szCs w:val="24"/>
          <w:lang w:val="sr-Latn-CS"/>
        </w:rPr>
        <w:endnoteRef/>
      </w:r>
      <w:r>
        <w:rPr>
          <w:sz w:val="24"/>
          <w:szCs w:val="24"/>
          <w:lang w:val="sr-Latn-CS"/>
        </w:rPr>
        <w:t>. A. Onjia, T. Vasiljević, Đ. Čokeša, M. Laušević, Factorial design in isocratic high-performanse liquid chromatography of phenolic compounds, Journal of  Serbian Chemical Society 67 (2002)  745-751</w:t>
      </w:r>
    </w:p>
  </w:endnote>
  <w:endnote w:id="7">
    <w:p w:rsidR="00B24895" w:rsidRDefault="00B24895" w:rsidP="00B24895">
      <w:pPr>
        <w:pStyle w:val="EndnoteText"/>
        <w:ind w:left="426" w:hanging="426"/>
        <w:rPr>
          <w:sz w:val="24"/>
          <w:szCs w:val="24"/>
          <w:lang w:val="sr-Latn-CS"/>
        </w:rPr>
      </w:pPr>
      <w:r>
        <w:rPr>
          <w:rStyle w:val="EndnoteReference"/>
          <w:sz w:val="24"/>
          <w:szCs w:val="24"/>
          <w:lang w:val="sr-Latn-CS"/>
        </w:rPr>
        <w:endnoteRef/>
      </w:r>
      <w:r>
        <w:rPr>
          <w:sz w:val="24"/>
          <w:szCs w:val="24"/>
          <w:lang w:val="sr-Latn-CS"/>
        </w:rPr>
        <w:t>. A. Destainville, E. Champion, D. Bernache-Assollant, E. Laborde, Synthesis, characterization and thermal behavior of apatitic tricalcium phosphate, Materials Chemistry and Physics 80 (2003) 269–277</w:t>
      </w:r>
    </w:p>
  </w:endnote>
  <w:endnote w:id="8">
    <w:p w:rsidR="00B24895" w:rsidRDefault="00B24895" w:rsidP="00B24895">
      <w:pPr>
        <w:pStyle w:val="EndnoteText"/>
        <w:ind w:left="426" w:hanging="426"/>
        <w:rPr>
          <w:sz w:val="24"/>
          <w:szCs w:val="24"/>
          <w:lang w:val="sr-Latn-CS"/>
        </w:rPr>
      </w:pPr>
      <w:r>
        <w:rPr>
          <w:rStyle w:val="EndnoteReference"/>
          <w:sz w:val="24"/>
          <w:szCs w:val="24"/>
          <w:lang w:val="sr-Latn-CS"/>
        </w:rPr>
        <w:endnoteRef/>
      </w:r>
      <w:r>
        <w:rPr>
          <w:sz w:val="24"/>
          <w:szCs w:val="24"/>
          <w:lang w:val="sr-Latn-CS"/>
        </w:rPr>
        <w:t xml:space="preserve">. </w:t>
      </w:r>
      <w:r>
        <w:rPr>
          <w:bCs/>
          <w:sz w:val="24"/>
          <w:szCs w:val="24"/>
          <w:lang w:val="sr-Latn-CS"/>
        </w:rPr>
        <w:t>N. Rueda, R. Bacaud, P. Lanteri and M. Vrinat, Factorial design for the evaluation of the influence of preparation parameters upon the properties of dispersed molybdenum sulfide catalysts, Applied Cataysis</w:t>
      </w:r>
      <w:r>
        <w:rPr>
          <w:bCs/>
          <w:i/>
          <w:sz w:val="24"/>
          <w:szCs w:val="24"/>
          <w:lang w:val="sr-Latn-CS"/>
        </w:rPr>
        <w:t xml:space="preserve"> </w:t>
      </w:r>
      <w:r>
        <w:rPr>
          <w:bCs/>
          <w:sz w:val="24"/>
          <w:szCs w:val="24"/>
          <w:lang w:val="sr-Latn-CS"/>
        </w:rPr>
        <w:t xml:space="preserve">A </w:t>
      </w:r>
      <w:r>
        <w:rPr>
          <w:sz w:val="24"/>
          <w:szCs w:val="24"/>
          <w:lang w:val="sr-Latn-CS"/>
        </w:rPr>
        <w:t>215 (2001) 81-89</w:t>
      </w:r>
    </w:p>
  </w:endnote>
  <w:endnote w:id="9">
    <w:p w:rsidR="00B24895" w:rsidRDefault="00B24895" w:rsidP="00B24895">
      <w:pPr>
        <w:pStyle w:val="EndnoteText"/>
        <w:ind w:left="426" w:hanging="426"/>
        <w:rPr>
          <w:sz w:val="24"/>
          <w:szCs w:val="24"/>
          <w:lang w:val="sr-Latn-CS"/>
        </w:rPr>
      </w:pPr>
      <w:r>
        <w:rPr>
          <w:rStyle w:val="EndnoteReference"/>
          <w:sz w:val="24"/>
          <w:szCs w:val="24"/>
        </w:rPr>
        <w:endnoteRef/>
      </w:r>
      <w:r>
        <w:rPr>
          <w:sz w:val="24"/>
          <w:szCs w:val="24"/>
        </w:rPr>
        <w:t xml:space="preserve">. </w:t>
      </w:r>
      <w:r>
        <w:rPr>
          <w:sz w:val="24"/>
          <w:szCs w:val="24"/>
          <w:lang w:val="sr-Latn-CS"/>
        </w:rPr>
        <w:t>I. Smičiklas, A. Onjia, S. Raičević, Experimental design approach in the synthesis of hydroxyapatite by neutralization method, Separation and Purification Technology 44 (2) (2005) 97-102</w:t>
      </w:r>
    </w:p>
  </w:endnote>
  <w:endnote w:id="10">
    <w:p w:rsidR="00B24895" w:rsidRDefault="00B24895" w:rsidP="00B24895">
      <w:pPr>
        <w:pStyle w:val="EndnoteText"/>
        <w:ind w:left="426" w:hanging="426"/>
        <w:rPr>
          <w:sz w:val="24"/>
          <w:szCs w:val="24"/>
          <w:lang w:val="sr-Latn-CS"/>
        </w:rPr>
      </w:pPr>
      <w:r>
        <w:rPr>
          <w:rStyle w:val="EndnoteReference"/>
          <w:sz w:val="24"/>
          <w:szCs w:val="24"/>
          <w:lang w:val="sr-Latn-CS"/>
        </w:rPr>
        <w:endnoteRef/>
      </w:r>
      <w:r>
        <w:rPr>
          <w:sz w:val="24"/>
          <w:szCs w:val="24"/>
          <w:lang w:val="sr-Latn-CS"/>
        </w:rPr>
        <w:t xml:space="preserve">. </w:t>
      </w:r>
      <w:r>
        <w:rPr>
          <w:bCs/>
          <w:sz w:val="24"/>
          <w:szCs w:val="24"/>
          <w:lang w:val="sr-Latn-CS"/>
        </w:rPr>
        <w:t>E. Barrado, M. Vega, R. Pardo, P. Grande, J. L. Del Valle, Optimisation of a purification method for metal-containing wastewater by use of a Taguchi experimental design, Water Research</w:t>
      </w:r>
      <w:r>
        <w:rPr>
          <w:sz w:val="24"/>
          <w:szCs w:val="24"/>
          <w:lang w:val="sr-Latn-CS"/>
        </w:rPr>
        <w:t xml:space="preserve"> 10 (1996) 2309-2314</w:t>
      </w:r>
    </w:p>
  </w:endnote>
  <w:endnote w:id="11">
    <w:p w:rsidR="00B24895" w:rsidRDefault="00B24895" w:rsidP="00B24895">
      <w:pPr>
        <w:pStyle w:val="EndnoteText"/>
        <w:ind w:left="426" w:hanging="426"/>
        <w:rPr>
          <w:sz w:val="24"/>
          <w:szCs w:val="24"/>
          <w:lang w:val="sr-Latn-CS"/>
        </w:rPr>
      </w:pPr>
      <w:r>
        <w:rPr>
          <w:rStyle w:val="EndnoteReference"/>
          <w:sz w:val="24"/>
          <w:szCs w:val="24"/>
          <w:lang w:val="sr-Latn-CS"/>
        </w:rPr>
        <w:endnoteRef/>
      </w:r>
      <w:r>
        <w:rPr>
          <w:sz w:val="24"/>
          <w:szCs w:val="24"/>
          <w:lang w:val="sr-Latn-CS"/>
        </w:rPr>
        <w:t xml:space="preserve">. </w:t>
      </w:r>
      <w:r>
        <w:rPr>
          <w:bCs/>
          <w:sz w:val="24"/>
          <w:szCs w:val="24"/>
          <w:lang w:val="sr-Latn-CS"/>
        </w:rPr>
        <w:t>E. Barrado, F. Prieto, M. Vega, F. Fernandez-Polanco, Optimization of the operational variables of a medium-scale reactor for metal-containing wastewater purification by ferrite formation, Water Research 32 (1998) 3055-3061.</w:t>
      </w:r>
    </w:p>
  </w:endnote>
  <w:endnote w:id="12">
    <w:p w:rsidR="00B24895" w:rsidRDefault="00B24895" w:rsidP="00B24895">
      <w:pPr>
        <w:pStyle w:val="EndnoteText"/>
        <w:ind w:left="426" w:hanging="426"/>
        <w:rPr>
          <w:sz w:val="24"/>
          <w:szCs w:val="24"/>
          <w:lang w:val="sr-Latn-CS"/>
        </w:rPr>
      </w:pPr>
      <w:r>
        <w:rPr>
          <w:rStyle w:val="EndnoteReference"/>
          <w:sz w:val="24"/>
          <w:szCs w:val="24"/>
          <w:lang w:val="sr-Latn-CS"/>
        </w:rPr>
        <w:endnoteRef/>
      </w:r>
      <w:r>
        <w:rPr>
          <w:sz w:val="24"/>
          <w:szCs w:val="24"/>
          <w:lang w:val="sr-Latn-CS"/>
        </w:rPr>
        <w:t xml:space="preserve">. </w:t>
      </w:r>
      <w:r>
        <w:rPr>
          <w:bCs/>
          <w:sz w:val="24"/>
          <w:szCs w:val="24"/>
          <w:lang w:val="sr-Latn-CS"/>
        </w:rPr>
        <w:t xml:space="preserve">M. Friedmen, L.J. Savage, Techniques of statistical analysis, eds.C. Eisenhart, M.W. Hastay, W.A. Walis, McGraw Hill, New York (1947) </w:t>
      </w:r>
    </w:p>
  </w:endnote>
  <w:endnote w:id="13">
    <w:p w:rsidR="00B24895" w:rsidRDefault="00B24895" w:rsidP="00B24895">
      <w:pPr>
        <w:pStyle w:val="EndnoteText"/>
        <w:ind w:left="425" w:hanging="425"/>
        <w:rPr>
          <w:sz w:val="24"/>
          <w:szCs w:val="24"/>
        </w:rPr>
      </w:pPr>
      <w:r>
        <w:rPr>
          <w:rStyle w:val="EndnoteReference"/>
          <w:sz w:val="24"/>
          <w:szCs w:val="24"/>
        </w:rPr>
        <w:endnoteRef/>
      </w:r>
      <w:r>
        <w:rPr>
          <w:sz w:val="24"/>
          <w:szCs w:val="24"/>
        </w:rPr>
        <w:t>. G. Hanrahan, J. Zhu, S. Gibani, D. G. Patil,</w:t>
      </w:r>
      <w:r>
        <w:rPr>
          <w:sz w:val="24"/>
          <w:szCs w:val="24"/>
          <w:lang w:val="en-GB"/>
        </w:rPr>
        <w:t xml:space="preserve"> Chemometrics and Statistics: Experimental Design. In Encyclopedia of Analytical Science, 2nd ed., </w:t>
      </w:r>
      <w:r>
        <w:rPr>
          <w:sz w:val="24"/>
          <w:szCs w:val="24"/>
        </w:rPr>
        <w:t>eds. P.J. Worsfold, C.F. Poole, Elsevier, Oxford (2005)</w:t>
      </w:r>
    </w:p>
  </w:endnote>
  <w:endnote w:id="14">
    <w:p w:rsidR="00B24895" w:rsidRDefault="00B24895" w:rsidP="00B24895">
      <w:pPr>
        <w:pStyle w:val="EndnoteText"/>
        <w:ind w:left="425" w:hanging="425"/>
        <w:rPr>
          <w:sz w:val="24"/>
          <w:szCs w:val="24"/>
        </w:rPr>
      </w:pPr>
      <w:r>
        <w:rPr>
          <w:rStyle w:val="EndnoteReference"/>
          <w:sz w:val="24"/>
          <w:szCs w:val="24"/>
        </w:rPr>
        <w:endnoteRef/>
      </w:r>
      <w:r>
        <w:rPr>
          <w:sz w:val="24"/>
          <w:szCs w:val="24"/>
        </w:rPr>
        <w:t xml:space="preserve">. </w:t>
      </w:r>
      <w:r>
        <w:rPr>
          <w:sz w:val="24"/>
          <w:szCs w:val="24"/>
          <w:lang w:val="sr-Cyrl-CS"/>
        </w:rPr>
        <w:t>I. Sredović Ignjatović, A. Onjia, M. Rajković, Lj. Rajaković, Primena frakcionog faktorijskog dizajna za određivanje fluora u uglju, 6. Simpozijum Hemija i zaštita životne sredinе - EnviroChem 2013 sa međunarodnim učešćem, 21.-24. maj 2013., Vršac, Srbija, Кnjiga izvoda, str. 66-67.</w:t>
      </w:r>
    </w:p>
  </w:endnote>
  <w:endnote w:id="15">
    <w:p w:rsidR="00B24895" w:rsidRDefault="00B24895" w:rsidP="00B24895">
      <w:pPr>
        <w:pStyle w:val="EndnoteText"/>
        <w:ind w:left="425" w:hanging="425"/>
        <w:rPr>
          <w:sz w:val="24"/>
          <w:szCs w:val="24"/>
        </w:rPr>
      </w:pPr>
      <w:r>
        <w:rPr>
          <w:rStyle w:val="EndnoteReference"/>
          <w:sz w:val="24"/>
          <w:szCs w:val="24"/>
        </w:rPr>
        <w:endnoteRef/>
      </w:r>
      <w:r>
        <w:rPr>
          <w:sz w:val="24"/>
          <w:szCs w:val="24"/>
        </w:rPr>
        <w:t xml:space="preserve"> </w:t>
      </w:r>
      <w:r>
        <w:rPr>
          <w:sz w:val="24"/>
          <w:szCs w:val="24"/>
          <w:lang w:val="sr-Cyrl-CS"/>
        </w:rPr>
        <w:t>I. Sredovic, Dj. Cokesa, A. Onjia, Lj. Rajakovic,</w:t>
      </w:r>
      <w:r>
        <w:rPr>
          <w:sz w:val="24"/>
          <w:szCs w:val="24"/>
        </w:rPr>
        <w:t xml:space="preserve"> </w:t>
      </w:r>
      <w:r>
        <w:rPr>
          <w:sz w:val="24"/>
          <w:szCs w:val="24"/>
          <w:lang w:val="sr-Cyrl-CS"/>
        </w:rPr>
        <w:t>Experimental design applied on pyrohydrolytic extraction of fluorine and chlorine from coal, Chemicke Listy 106, s587-s1423 (2012) s1152.</w:t>
      </w:r>
    </w:p>
  </w:endnote>
  <w:endnote w:id="16">
    <w:p w:rsidR="00B24895" w:rsidRDefault="00B24895" w:rsidP="00B24895">
      <w:pPr>
        <w:pStyle w:val="EndnoteText"/>
        <w:ind w:left="426" w:hanging="426"/>
        <w:rPr>
          <w:sz w:val="24"/>
          <w:szCs w:val="24"/>
        </w:rPr>
      </w:pPr>
      <w:r>
        <w:rPr>
          <w:rStyle w:val="EndnoteReference"/>
          <w:sz w:val="24"/>
          <w:szCs w:val="24"/>
        </w:rPr>
        <w:endnoteRef/>
      </w:r>
      <w:r>
        <w:rPr>
          <w:sz w:val="24"/>
          <w:szCs w:val="24"/>
        </w:rPr>
        <w:t>.  G. Hanrahan, K. Lu, Application of factorial and response surface methodology in modern experimental design and optimiyation, Critical Reviwes in Analytical Chemistry 36 (3-4) (2006) 141-151</w:t>
      </w:r>
    </w:p>
  </w:endnote>
  <w:endnote w:id="17">
    <w:p w:rsidR="00B24895" w:rsidRDefault="00B24895" w:rsidP="00B24895">
      <w:pPr>
        <w:pStyle w:val="EndnoteText"/>
        <w:ind w:left="425" w:hanging="425"/>
        <w:rPr>
          <w:sz w:val="24"/>
          <w:szCs w:val="24"/>
        </w:rPr>
      </w:pPr>
      <w:r>
        <w:rPr>
          <w:rStyle w:val="EndnoteReference"/>
          <w:sz w:val="24"/>
          <w:szCs w:val="24"/>
        </w:rPr>
        <w:endnoteRef/>
      </w:r>
      <w:r>
        <w:rPr>
          <w:sz w:val="24"/>
          <w:szCs w:val="24"/>
        </w:rPr>
        <w:t xml:space="preserve">. L. </w:t>
      </w:r>
      <w:r>
        <w:rPr>
          <w:sz w:val="24"/>
          <w:szCs w:val="24"/>
          <w:lang w:val="en-GB"/>
        </w:rPr>
        <w:t>Vera Candioti, M. M. De Zan, M. S. Cámara, H.C. Goicoechea, Experimental design and multiple response optimization. Using the desirability function in analytical methods development, Talanta 124 (2014) 123-138.</w:t>
      </w:r>
    </w:p>
  </w:endnote>
  <w:endnote w:id="18">
    <w:p w:rsidR="00B24895" w:rsidRDefault="00B24895" w:rsidP="00B24895">
      <w:pPr>
        <w:pStyle w:val="EndnoteText"/>
        <w:ind w:left="425" w:hanging="425"/>
        <w:rPr>
          <w:sz w:val="24"/>
          <w:szCs w:val="24"/>
        </w:rPr>
      </w:pPr>
      <w:r>
        <w:rPr>
          <w:rStyle w:val="EndnoteReference"/>
          <w:sz w:val="24"/>
          <w:szCs w:val="24"/>
        </w:rPr>
        <w:endnoteRef/>
      </w:r>
      <w:r>
        <w:rPr>
          <w:sz w:val="24"/>
          <w:szCs w:val="24"/>
        </w:rPr>
        <w:t>. M. A. Bezerra, R. E. Santelli, E. P. Oliveira, L. S. Villar, L. A. Escaleira, Response surface methodology (RSM) as a tool for optimization in analytical chemistry, Talanta 76 (2008) 965-977</w:t>
      </w:r>
    </w:p>
  </w:endnote>
  <w:endnote w:id="19">
    <w:p w:rsidR="00B24895" w:rsidRDefault="00B24895" w:rsidP="00B24895">
      <w:pPr>
        <w:pStyle w:val="EndnoteText"/>
        <w:ind w:left="425" w:hanging="425"/>
        <w:rPr>
          <w:sz w:val="24"/>
          <w:szCs w:val="24"/>
        </w:rPr>
      </w:pPr>
      <w:r>
        <w:rPr>
          <w:rStyle w:val="EndnoteReference"/>
          <w:sz w:val="24"/>
          <w:szCs w:val="24"/>
        </w:rPr>
        <w:endnoteRef/>
      </w:r>
      <w:r>
        <w:rPr>
          <w:sz w:val="24"/>
          <w:szCs w:val="24"/>
        </w:rPr>
        <w:t>. K. K. Sharma, V. K. Kalyanti, T. Gouri Charan, A. Sinha, Application of central composite design with response surfane methodologyin beneficiation studies of coal fines using an oleo-flotationprocess, International Journal of Coal Preparation and Utilization 32 (2012)  225-237</w:t>
      </w:r>
    </w:p>
  </w:endnote>
  <w:endnote w:id="20">
    <w:p w:rsidR="00B24895" w:rsidRDefault="00B24895" w:rsidP="00B24895">
      <w:pPr>
        <w:pStyle w:val="EndnoteText"/>
        <w:ind w:left="425" w:hanging="425"/>
      </w:pPr>
      <w:r>
        <w:rPr>
          <w:rStyle w:val="EndnoteReference"/>
          <w:sz w:val="24"/>
          <w:szCs w:val="24"/>
        </w:rPr>
        <w:endnoteRef/>
      </w:r>
      <w:r>
        <w:rPr>
          <w:sz w:val="24"/>
          <w:szCs w:val="24"/>
        </w:rPr>
        <w:t>. S. L. C. Ferreira, R. E. Bruns, H. S. Ferreira, G. D. Matos, J. M. David, G. C. Brandao, E. G. P. de Silva, L. A. Portugal, P. S. dos Reis, A. S. Souza, W. N. L. dos Santos, Box-Behnken design: An alternative for the optimization of analytical methods, Analytica Chimica Acta 597 (2007) 179-186</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592" w:rsidRDefault="00EE45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275290"/>
      <w:docPartObj>
        <w:docPartGallery w:val="Page Numbers (Bottom of Page)"/>
        <w:docPartUnique/>
      </w:docPartObj>
    </w:sdtPr>
    <w:sdtContent>
      <w:p w:rsidR="00EE4592" w:rsidRDefault="00C978FE">
        <w:pPr>
          <w:pStyle w:val="Footer"/>
          <w:jc w:val="right"/>
        </w:pPr>
        <w:fldSimple w:instr=" PAGE   \* MERGEFORMAT ">
          <w:r w:rsidR="00E6742A">
            <w:rPr>
              <w:noProof/>
            </w:rPr>
            <w:t>1</w:t>
          </w:r>
        </w:fldSimple>
      </w:p>
    </w:sdtContent>
  </w:sdt>
  <w:p w:rsidR="00EE4592" w:rsidRDefault="00EE459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592" w:rsidRDefault="00EE45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0422" w:rsidRDefault="00410422" w:rsidP="00B24895">
      <w:pPr>
        <w:spacing w:line="240" w:lineRule="auto"/>
      </w:pPr>
      <w:r>
        <w:separator/>
      </w:r>
    </w:p>
  </w:footnote>
  <w:footnote w:type="continuationSeparator" w:id="1">
    <w:p w:rsidR="00410422" w:rsidRDefault="00410422" w:rsidP="00B2489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592" w:rsidRDefault="00EE459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592" w:rsidRDefault="00EE45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592" w:rsidRDefault="00EE45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C0B8D"/>
    <w:multiLevelType w:val="hybridMultilevel"/>
    <w:tmpl w:val="2FCE51E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24895"/>
    <w:rsid w:val="000745A4"/>
    <w:rsid w:val="00167BAF"/>
    <w:rsid w:val="00187EB6"/>
    <w:rsid w:val="00227118"/>
    <w:rsid w:val="00291E26"/>
    <w:rsid w:val="003C415B"/>
    <w:rsid w:val="00410422"/>
    <w:rsid w:val="0041438D"/>
    <w:rsid w:val="00465ECC"/>
    <w:rsid w:val="005D3CD5"/>
    <w:rsid w:val="00693F34"/>
    <w:rsid w:val="00754388"/>
    <w:rsid w:val="007762BF"/>
    <w:rsid w:val="00865482"/>
    <w:rsid w:val="00933302"/>
    <w:rsid w:val="009A3188"/>
    <w:rsid w:val="009E40FB"/>
    <w:rsid w:val="00AD38E8"/>
    <w:rsid w:val="00B24895"/>
    <w:rsid w:val="00BC7CAB"/>
    <w:rsid w:val="00C978FE"/>
    <w:rsid w:val="00D95ADF"/>
    <w:rsid w:val="00E24BCB"/>
    <w:rsid w:val="00E6742A"/>
    <w:rsid w:val="00E70861"/>
    <w:rsid w:val="00EE4592"/>
    <w:rsid w:val="00FC6658"/>
    <w:rsid w:val="00FD3F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895"/>
    <w:pPr>
      <w:spacing w:line="36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B24895"/>
    <w:pPr>
      <w:ind w:left="720"/>
      <w:contextualSpacing/>
    </w:pPr>
  </w:style>
  <w:style w:type="paragraph" w:styleId="EndnoteText">
    <w:name w:val="endnote text"/>
    <w:basedOn w:val="Normal"/>
    <w:link w:val="EndnoteTextChar"/>
    <w:rsid w:val="00B24895"/>
    <w:rPr>
      <w:sz w:val="20"/>
      <w:szCs w:val="20"/>
    </w:rPr>
  </w:style>
  <w:style w:type="character" w:customStyle="1" w:styleId="EndnoteTextChar">
    <w:name w:val="Endnote Text Char"/>
    <w:basedOn w:val="DefaultParagraphFont"/>
    <w:link w:val="EndnoteText"/>
    <w:rsid w:val="00B24895"/>
    <w:rPr>
      <w:rFonts w:ascii="Times New Roman" w:eastAsia="Times New Roman" w:hAnsi="Times New Roman" w:cs="Times New Roman"/>
      <w:sz w:val="20"/>
      <w:szCs w:val="20"/>
    </w:rPr>
  </w:style>
  <w:style w:type="character" w:styleId="EndnoteReference">
    <w:name w:val="endnote reference"/>
    <w:rsid w:val="00B24895"/>
    <w:rPr>
      <w:vertAlign w:val="superscript"/>
    </w:rPr>
  </w:style>
  <w:style w:type="character" w:customStyle="1" w:styleId="ListParagraphChar">
    <w:name w:val="List Paragraph Char"/>
    <w:link w:val="ListParagraph"/>
    <w:rsid w:val="00B2489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2489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895"/>
    <w:rPr>
      <w:rFonts w:ascii="Tahoma" w:eastAsia="Times New Roman" w:hAnsi="Tahoma" w:cs="Tahoma"/>
      <w:sz w:val="16"/>
      <w:szCs w:val="16"/>
    </w:rPr>
  </w:style>
  <w:style w:type="paragraph" w:styleId="Header">
    <w:name w:val="header"/>
    <w:basedOn w:val="Normal"/>
    <w:link w:val="HeaderChar"/>
    <w:uiPriority w:val="99"/>
    <w:semiHidden/>
    <w:unhideWhenUsed/>
    <w:rsid w:val="00EE4592"/>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EE459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E4592"/>
    <w:pPr>
      <w:tabs>
        <w:tab w:val="center" w:pos="4680"/>
        <w:tab w:val="right" w:pos="9360"/>
      </w:tabs>
      <w:spacing w:line="240" w:lineRule="auto"/>
    </w:pPr>
  </w:style>
  <w:style w:type="character" w:customStyle="1" w:styleId="FooterChar">
    <w:name w:val="Footer Char"/>
    <w:basedOn w:val="DefaultParagraphFont"/>
    <w:link w:val="Footer"/>
    <w:uiPriority w:val="99"/>
    <w:rsid w:val="00EE4592"/>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10</Pages>
  <Words>2185</Words>
  <Characters>12460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Lj. Ignjatovic</dc:creator>
  <cp:lastModifiedBy>ffh</cp:lastModifiedBy>
  <cp:revision>12</cp:revision>
  <dcterms:created xsi:type="dcterms:W3CDTF">2016-12-22T11:45:00Z</dcterms:created>
  <dcterms:modified xsi:type="dcterms:W3CDTF">2017-12-07T12:39:00Z</dcterms:modified>
</cp:coreProperties>
</file>